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01" w:line="225" w:lineRule="auto"/>
        <w:ind w:left="3326"/>
        <w:rPr>
          <w:rFonts w:hint="default" w:ascii="Times New Roman" w:hAnsi="Times New Roman" w:eastAsia="宋体" w:cs="Times New Roman"/>
          <w:sz w:val="31"/>
          <w:szCs w:val="31"/>
          <w:highlight w:val="none"/>
          <w:lang w:val="en-US" w:eastAsia="zh-CN"/>
        </w:rPr>
      </w:pPr>
      <w:r>
        <w:rPr>
          <w:rFonts w:ascii="宋体" w:hAnsi="宋体" w:eastAsia="宋体" w:cs="宋体"/>
          <w:spacing w:val="10"/>
          <w:sz w:val="31"/>
          <w:szCs w:val="31"/>
          <w:highlight w:val="none"/>
        </w:rPr>
        <w:t>编</w:t>
      </w:r>
      <w:r>
        <w:rPr>
          <w:rFonts w:ascii="宋体" w:hAnsi="宋体" w:eastAsia="宋体" w:cs="宋体"/>
          <w:spacing w:val="5"/>
          <w:sz w:val="31"/>
          <w:szCs w:val="31"/>
          <w:highlight w:val="none"/>
        </w:rPr>
        <w:t>号：</w:t>
      </w:r>
      <w:r>
        <w:rPr>
          <w:rFonts w:ascii="Times New Roman" w:hAnsi="Times New Roman" w:eastAsia="Times New Roman" w:cs="Times New Roman"/>
          <w:sz w:val="31"/>
          <w:szCs w:val="31"/>
          <w:highlight w:val="none"/>
        </w:rPr>
        <w:t>H</w:t>
      </w:r>
      <w:r>
        <w:rPr>
          <w:rFonts w:ascii="Times New Roman" w:hAnsi="Times New Roman" w:eastAsia="Times New Roman" w:cs="Times New Roman"/>
          <w:spacing w:val="5"/>
          <w:sz w:val="31"/>
          <w:szCs w:val="31"/>
          <w:highlight w:val="none"/>
        </w:rPr>
        <w:t>-</w:t>
      </w:r>
      <w:r>
        <w:rPr>
          <w:rFonts w:hint="eastAsia" w:ascii="Times New Roman" w:hAnsi="Times New Roman" w:eastAsia="宋体" w:cs="Times New Roman"/>
          <w:spacing w:val="5"/>
          <w:sz w:val="31"/>
          <w:szCs w:val="31"/>
          <w:highlight w:val="none"/>
          <w:lang w:eastAsia="zh-CN"/>
        </w:rPr>
        <w:t>202</w:t>
      </w:r>
      <w:r>
        <w:rPr>
          <w:rFonts w:hint="eastAsia" w:ascii="Times New Roman" w:hAnsi="Times New Roman" w:eastAsia="宋体" w:cs="Times New Roman"/>
          <w:spacing w:val="5"/>
          <w:sz w:val="31"/>
          <w:szCs w:val="31"/>
          <w:highlight w:val="none"/>
          <w:lang w:val="en-US" w:eastAsia="zh-CN"/>
        </w:rPr>
        <w:t>3</w:t>
      </w:r>
      <w:r>
        <w:rPr>
          <w:rFonts w:ascii="Times New Roman" w:hAnsi="Times New Roman" w:eastAsia="Times New Roman" w:cs="Times New Roman"/>
          <w:spacing w:val="5"/>
          <w:sz w:val="31"/>
          <w:szCs w:val="31"/>
          <w:highlight w:val="none"/>
        </w:rPr>
        <w:t>-</w:t>
      </w:r>
      <w:r>
        <w:rPr>
          <w:rFonts w:hint="eastAsia" w:ascii="Times New Roman" w:hAnsi="Times New Roman" w:eastAsia="Times New Roman" w:cs="Times New Roman"/>
          <w:spacing w:val="5"/>
          <w:sz w:val="31"/>
          <w:szCs w:val="31"/>
          <w:highlight w:val="none"/>
        </w:rPr>
        <w:t>913304117625253643</w:t>
      </w:r>
      <w:r>
        <w:rPr>
          <w:rFonts w:ascii="Times New Roman" w:hAnsi="Times New Roman" w:eastAsia="Times New Roman" w:cs="Times New Roman"/>
          <w:spacing w:val="5"/>
          <w:sz w:val="31"/>
          <w:szCs w:val="31"/>
          <w:highlight w:val="none"/>
        </w:rPr>
        <w:t xml:space="preserve"> -0</w:t>
      </w:r>
      <w:r>
        <w:rPr>
          <w:rFonts w:hint="eastAsia" w:ascii="Times New Roman" w:hAnsi="Times New Roman" w:eastAsia="宋体" w:cs="Times New Roman"/>
          <w:spacing w:val="5"/>
          <w:sz w:val="31"/>
          <w:szCs w:val="31"/>
          <w:highlight w:val="none"/>
          <w:lang w:val="en-US" w:eastAsia="zh-CN"/>
        </w:rPr>
        <w:t>07</w:t>
      </w:r>
    </w:p>
    <w:p>
      <w:pPr>
        <w:spacing w:line="248" w:lineRule="auto"/>
        <w:rPr>
          <w:rFonts w:ascii="Arial"/>
          <w:sz w:val="21"/>
          <w:highlight w:val="yellow"/>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jc w:val="center"/>
        <w:textAlignment w:val="baseline"/>
        <w:rPr>
          <w:rFonts w:hint="eastAsia" w:ascii="宋体" w:hAnsi="宋体" w:eastAsia="宋体" w:cs="宋体"/>
          <w:b w:val="0"/>
          <w:bCs w:val="0"/>
          <w:sz w:val="47"/>
          <w:szCs w:val="47"/>
          <w:lang w:eastAsia="zh-CN"/>
        </w:rPr>
      </w:pPr>
      <w:r>
        <w:rPr>
          <w:rFonts w:hint="eastAsia" w:ascii="宋体" w:hAnsi="宋体" w:eastAsia="宋体" w:cs="宋体"/>
          <w:b w:val="0"/>
          <w:bCs w:val="0"/>
          <w:spacing w:val="15"/>
          <w:position w:val="42"/>
          <w:sz w:val="47"/>
          <w:szCs w:val="47"/>
          <w:lang w:eastAsia="zh-CN"/>
          <w14:textOutline w14:w="8717" w14:cap="sq" w14:cmpd="sng">
            <w14:solidFill>
              <w14:srgbClr w14:val="000000"/>
            </w14:solidFill>
            <w14:prstDash w14:val="solid"/>
            <w14:bevel/>
          </w14:textOutline>
        </w:rPr>
        <w:t>浙江群展精密紧固件股份有限公司</w:t>
      </w:r>
    </w:p>
    <w:p>
      <w:pPr>
        <w:spacing w:before="1" w:line="219" w:lineRule="auto"/>
        <w:ind w:left="5560"/>
        <w:rPr>
          <w:rFonts w:ascii="宋体" w:hAnsi="宋体" w:eastAsia="宋体" w:cs="宋体"/>
          <w:sz w:val="40"/>
          <w:szCs w:val="40"/>
        </w:rPr>
      </w:pPr>
      <w:r>
        <w:rPr>
          <w:rFonts w:ascii="Times New Roman" w:hAnsi="Times New Roman" w:eastAsia="Times New Roman" w:cs="Times New Roman"/>
          <w:b/>
          <w:bCs/>
          <w:spacing w:val="-2"/>
          <w:sz w:val="40"/>
          <w:szCs w:val="40"/>
        </w:rPr>
        <w:t>202</w:t>
      </w:r>
      <w:r>
        <w:rPr>
          <w:rFonts w:hint="eastAsia" w:ascii="Times New Roman" w:hAnsi="Times New Roman" w:eastAsia="宋体" w:cs="Times New Roman"/>
          <w:b/>
          <w:bCs/>
          <w:spacing w:val="-1"/>
          <w:sz w:val="40"/>
          <w:szCs w:val="40"/>
          <w:lang w:val="en-US" w:eastAsia="zh-CN"/>
        </w:rPr>
        <w:t>2</w:t>
      </w:r>
      <w:r>
        <w:rPr>
          <w:rFonts w:ascii="宋体" w:hAnsi="宋体" w:eastAsia="宋体" w:cs="宋体"/>
          <w:spacing w:val="-1"/>
          <w:sz w:val="40"/>
          <w:szCs w:val="40"/>
          <w14:textOutline w14:w="7282" w14:cap="sq" w14:cmpd="sng">
            <w14:solidFill>
              <w14:srgbClr w14:val="000000"/>
            </w14:solidFill>
            <w14:prstDash w14:val="solid"/>
            <w14:bevel/>
          </w14:textOutline>
        </w:rPr>
        <w:t>年度</w:t>
      </w:r>
    </w:p>
    <w:p>
      <w:pPr>
        <w:spacing w:line="290" w:lineRule="auto"/>
        <w:rPr>
          <w:rFonts w:ascii="Arial"/>
          <w:sz w:val="21"/>
        </w:rPr>
      </w:pPr>
    </w:p>
    <w:p>
      <w:pPr>
        <w:spacing w:before="130" w:line="218" w:lineRule="auto"/>
        <w:ind w:left="4362"/>
        <w:rPr>
          <w:rFonts w:ascii="宋体" w:hAnsi="宋体" w:eastAsia="宋体" w:cs="宋体"/>
          <w:sz w:val="40"/>
          <w:szCs w:val="40"/>
        </w:rPr>
      </w:pPr>
      <w:r>
        <w:rPr>
          <w:rFonts w:ascii="宋体" w:hAnsi="宋体" w:eastAsia="宋体" w:cs="宋体"/>
          <w:spacing w:val="-1"/>
          <w:sz w:val="40"/>
          <w:szCs w:val="40"/>
          <w14:textOutline w14:w="7282" w14:cap="sq" w14:cmpd="sng">
            <w14:solidFill>
              <w14:srgbClr w14:val="000000"/>
            </w14:solidFill>
            <w14:prstDash w14:val="solid"/>
            <w14:bevel/>
          </w14:textOutline>
        </w:rPr>
        <w:t>温室气体</w:t>
      </w:r>
      <w:r>
        <w:rPr>
          <w:rFonts w:ascii="宋体" w:hAnsi="宋体" w:eastAsia="宋体" w:cs="宋体"/>
          <w:sz w:val="40"/>
          <w:szCs w:val="40"/>
          <w14:textOutline w14:w="7282" w14:cap="sq" w14:cmpd="sng">
            <w14:solidFill>
              <w14:srgbClr w14:val="000000"/>
            </w14:solidFill>
            <w14:prstDash w14:val="solid"/>
            <w14:bevel/>
          </w14:textOutline>
        </w:rPr>
        <w:t>排放核查报告</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r>
        <w:drawing>
          <wp:anchor distT="0" distB="0" distL="0" distR="0" simplePos="0" relativeHeight="251660288" behindDoc="0" locked="0" layoutInCell="0" allowOverlap="1">
            <wp:simplePos x="0" y="0"/>
            <wp:positionH relativeFrom="page">
              <wp:posOffset>3234055</wp:posOffset>
            </wp:positionH>
            <wp:positionV relativeFrom="page">
              <wp:posOffset>7323455</wp:posOffset>
            </wp:positionV>
            <wp:extent cx="2195830" cy="21971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30"/>
                    <a:stretch>
                      <a:fillRect/>
                    </a:stretch>
                  </pic:blipFill>
                  <pic:spPr>
                    <a:xfrm rot="660000">
                      <a:off x="0" y="0"/>
                      <a:ext cx="2196071" cy="2196807"/>
                    </a:xfrm>
                    <a:prstGeom prst="rect">
                      <a:avLst/>
                    </a:prstGeom>
                  </pic:spPr>
                </pic:pic>
              </a:graphicData>
            </a:graphic>
          </wp:anchor>
        </w:drawing>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1" w:line="785" w:lineRule="exact"/>
        <w:ind w:left="2522"/>
        <w:rPr>
          <w:rFonts w:ascii="宋体" w:hAnsi="宋体" w:eastAsia="宋体" w:cs="宋体"/>
          <w:sz w:val="28"/>
          <w:szCs w:val="28"/>
        </w:rPr>
      </w:pPr>
      <w:r>
        <w:pict>
          <v:shape id="_x0000_s1026" o:spid="_x0000_s1026" o:spt="202" type="#_x0000_t202" style="position:absolute;left:0pt;margin-left:279.75pt;margin-top:3.55pt;height:57.95pt;width:156.25pt;z-index:251659264;mso-width-relative:page;mso-height-relative:page;" filled="f" stroked="f" coordsize="21600,21600">
            <v:path/>
            <v:fill on="f" focussize="0,0"/>
            <v:stroke on="f"/>
            <v:imagedata o:title=""/>
            <o:lock v:ext="edit" aspectratio="f"/>
            <v:textbox inset="0mm,0mm,0mm,0mm">
              <w:txbxContent>
                <w:p>
                  <w:pPr>
                    <w:spacing w:before="20" w:line="219" w:lineRule="auto"/>
                    <w:ind w:left="23"/>
                    <w:rPr>
                      <w:rFonts w:ascii="宋体" w:hAnsi="宋体" w:eastAsia="宋体" w:cs="宋体"/>
                      <w:sz w:val="28"/>
                      <w:szCs w:val="28"/>
                    </w:rPr>
                  </w:pPr>
                  <w:r>
                    <w:rPr>
                      <w:rFonts w:ascii="宋体" w:hAnsi="宋体" w:eastAsia="宋体" w:cs="宋体"/>
                      <w:spacing w:val="1"/>
                      <w:sz w:val="28"/>
                      <w:szCs w:val="28"/>
                      <w14:textOutline w14:w="5103" w14:cap="sq" w14:cmpd="sng">
                        <w14:solidFill>
                          <w14:srgbClr w14:val="000000"/>
                        </w14:solidFill>
                        <w14:prstDash w14:val="solid"/>
                        <w14:bevel/>
                      </w14:textOutline>
                    </w:rPr>
                    <w:t>杭</w:t>
                  </w:r>
                  <w:r>
                    <w:rPr>
                      <w:rFonts w:ascii="宋体" w:hAnsi="宋体" w:eastAsia="宋体" w:cs="宋体"/>
                      <w:sz w:val="28"/>
                      <w:szCs w:val="28"/>
                      <w14:textOutline w14:w="5103" w14:cap="sq" w14:cmpd="sng">
                        <w14:solidFill>
                          <w14:srgbClr w14:val="000000"/>
                        </w14:solidFill>
                        <w14:prstDash w14:val="solid"/>
                        <w14:bevel/>
                      </w14:textOutline>
                    </w:rPr>
                    <w:t>州申乾裕科技有限公司</w:t>
                  </w:r>
                </w:p>
                <w:p>
                  <w:pPr>
                    <w:spacing w:line="358" w:lineRule="auto"/>
                    <w:rPr>
                      <w:rFonts w:ascii="Arial"/>
                      <w:sz w:val="21"/>
                    </w:rPr>
                  </w:pPr>
                </w:p>
                <w:p>
                  <w:pPr>
                    <w:spacing w:before="91" w:line="220" w:lineRule="auto"/>
                    <w:ind w:left="20"/>
                    <w:rPr>
                      <w:rFonts w:ascii="宋体" w:hAnsi="宋体" w:eastAsia="宋体" w:cs="宋体"/>
                      <w:sz w:val="28"/>
                      <w:szCs w:val="28"/>
                    </w:rPr>
                  </w:pPr>
                  <w:r>
                    <w:rPr>
                      <w:rFonts w:ascii="Times New Roman" w:hAnsi="Times New Roman" w:eastAsia="Times New Roman" w:cs="Times New Roman"/>
                      <w:b/>
                      <w:bCs/>
                      <w:spacing w:val="-1"/>
                      <w:sz w:val="28"/>
                      <w:szCs w:val="28"/>
                    </w:rPr>
                    <w:t>202</w:t>
                  </w:r>
                  <w:r>
                    <w:rPr>
                      <w:rFonts w:hint="eastAsia" w:ascii="Times New Roman" w:hAnsi="Times New Roman" w:eastAsia="宋体" w:cs="Times New Roman"/>
                      <w:b/>
                      <w:bCs/>
                      <w:spacing w:val="-1"/>
                      <w:sz w:val="28"/>
                      <w:szCs w:val="28"/>
                      <w:lang w:val="en-US" w:eastAsia="zh-CN"/>
                    </w:rPr>
                    <w:t>3</w:t>
                  </w:r>
                  <w:r>
                    <w:rPr>
                      <w:rFonts w:ascii="宋体" w:hAnsi="宋体" w:eastAsia="宋体" w:cs="宋体"/>
                      <w:spacing w:val="-1"/>
                      <w:sz w:val="28"/>
                      <w:szCs w:val="28"/>
                      <w14:textOutline w14:w="5103" w14:cap="sq" w14:cmpd="sng">
                        <w14:solidFill>
                          <w14:srgbClr w14:val="000000"/>
                        </w14:solidFill>
                        <w14:prstDash w14:val="solid"/>
                        <w14:bevel/>
                      </w14:textOutline>
                    </w:rPr>
                    <w:t>年</w:t>
                  </w:r>
                  <w:r>
                    <w:rPr>
                      <w:rFonts w:hint="eastAsia" w:ascii="Times New Roman" w:hAnsi="Times New Roman" w:eastAsia="宋体" w:cs="Times New Roman"/>
                      <w:b/>
                      <w:bCs/>
                      <w:sz w:val="28"/>
                      <w:szCs w:val="28"/>
                      <w:lang w:val="en-US" w:eastAsia="zh-CN"/>
                    </w:rPr>
                    <w:t>2</w:t>
                  </w:r>
                  <w:r>
                    <w:rPr>
                      <w:rFonts w:ascii="宋体" w:hAnsi="宋体" w:eastAsia="宋体" w:cs="宋体"/>
                      <w:sz w:val="28"/>
                      <w:szCs w:val="28"/>
                      <w14:textOutline w14:w="5103" w14:cap="sq" w14:cmpd="sng">
                        <w14:solidFill>
                          <w14:srgbClr w14:val="000000"/>
                        </w14:solidFill>
                        <w14:prstDash w14:val="solid"/>
                        <w14:bevel/>
                      </w14:textOutline>
                    </w:rPr>
                    <w:t>月</w:t>
                  </w:r>
                  <w:r>
                    <w:rPr>
                      <w:rFonts w:hint="eastAsia" w:ascii="Times New Roman" w:hAnsi="Times New Roman" w:eastAsia="宋体" w:cs="Times New Roman"/>
                      <w:b/>
                      <w:bCs/>
                      <w:sz w:val="28"/>
                      <w:szCs w:val="28"/>
                      <w:lang w:val="en-US" w:eastAsia="zh-CN"/>
                    </w:rPr>
                    <w:t>25</w:t>
                  </w:r>
                  <w:r>
                    <w:rPr>
                      <w:rFonts w:ascii="宋体" w:hAnsi="宋体" w:eastAsia="宋体" w:cs="宋体"/>
                      <w:sz w:val="28"/>
                      <w:szCs w:val="28"/>
                      <w14:textOutline w14:w="5103" w14:cap="sq" w14:cmpd="sng">
                        <w14:solidFill>
                          <w14:srgbClr w14:val="000000"/>
                        </w14:solidFill>
                        <w14:prstDash w14:val="solid"/>
                        <w14:bevel/>
                      </w14:textOutline>
                    </w:rPr>
                    <w:t>日</w:t>
                  </w:r>
                </w:p>
              </w:txbxContent>
            </v:textbox>
          </v:shape>
        </w:pict>
      </w:r>
      <w:r>
        <w:rPr>
          <w:rFonts w:ascii="宋体" w:hAnsi="宋体" w:eastAsia="宋体" w:cs="宋体"/>
          <w:spacing w:val="-1"/>
          <w:position w:val="39"/>
          <w:sz w:val="28"/>
          <w:szCs w:val="28"/>
          <w14:textOutline w14:w="5103" w14:cap="sq" w14:cmpd="sng">
            <w14:solidFill>
              <w14:srgbClr w14:val="000000"/>
            </w14:solidFill>
            <w14:prstDash w14:val="solid"/>
            <w14:bevel/>
          </w14:textOutline>
        </w:rPr>
        <w:t>核查机构</w:t>
      </w:r>
      <w:r>
        <w:rPr>
          <w:rFonts w:ascii="宋体" w:hAnsi="宋体" w:eastAsia="宋体" w:cs="宋体"/>
          <w:position w:val="39"/>
          <w:sz w:val="28"/>
          <w:szCs w:val="28"/>
          <w14:textOutline w14:w="5103" w14:cap="sq" w14:cmpd="sng">
            <w14:solidFill>
              <w14:srgbClr w14:val="000000"/>
            </w14:solidFill>
            <w14:prstDash w14:val="solid"/>
            <w14:bevel/>
          </w14:textOutline>
        </w:rPr>
        <w:t>名称</w:t>
      </w:r>
      <w:r>
        <w:rPr>
          <w:rFonts w:ascii="宋体" w:hAnsi="宋体" w:eastAsia="宋体" w:cs="宋体"/>
          <w:position w:val="39"/>
          <w:sz w:val="28"/>
          <w:szCs w:val="28"/>
        </w:rPr>
        <w:t xml:space="preserve"> </w:t>
      </w:r>
      <w:r>
        <w:rPr>
          <w:rFonts w:ascii="宋体" w:hAnsi="宋体" w:eastAsia="宋体" w:cs="宋体"/>
          <w:position w:val="39"/>
          <w:sz w:val="28"/>
          <w:szCs w:val="28"/>
          <w14:textOutline w14:w="5103" w14:cap="sq" w14:cmpd="sng">
            <w14:solidFill>
              <w14:srgbClr w14:val="000000"/>
            </w14:solidFill>
            <w14:prstDash w14:val="solid"/>
            <w14:bevel/>
          </w14:textOutline>
        </w:rPr>
        <w:t>(公章)</w:t>
      </w:r>
      <w:r>
        <w:rPr>
          <w:rFonts w:ascii="宋体" w:hAnsi="宋体" w:eastAsia="宋体" w:cs="宋体"/>
          <w:position w:val="39"/>
          <w:sz w:val="28"/>
          <w:szCs w:val="28"/>
        </w:rPr>
        <w:t xml:space="preserve"> </w:t>
      </w:r>
      <w:r>
        <w:rPr>
          <w:rFonts w:ascii="宋体" w:hAnsi="宋体" w:eastAsia="宋体" w:cs="宋体"/>
          <w:position w:val="39"/>
          <w:sz w:val="28"/>
          <w:szCs w:val="28"/>
          <w14:textOutline w14:w="5103" w14:cap="sq" w14:cmpd="sng">
            <w14:solidFill>
              <w14:srgbClr w14:val="000000"/>
            </w14:solidFill>
            <w14:prstDash w14:val="solid"/>
            <w14:bevel/>
          </w14:textOutline>
        </w:rPr>
        <w:t>：</w:t>
      </w:r>
    </w:p>
    <w:p>
      <w:pPr>
        <w:spacing w:before="1" w:line="218" w:lineRule="auto"/>
        <w:ind w:left="2522"/>
        <w:rPr>
          <w:rFonts w:ascii="宋体" w:hAnsi="宋体" w:eastAsia="宋体" w:cs="宋体"/>
          <w:sz w:val="28"/>
          <w:szCs w:val="28"/>
        </w:rPr>
      </w:pPr>
      <w:r>
        <w:rPr>
          <w:rFonts w:ascii="宋体" w:hAnsi="宋体" w:eastAsia="宋体" w:cs="宋体"/>
          <w:spacing w:val="-1"/>
          <w:sz w:val="28"/>
          <w:szCs w:val="28"/>
          <w14:textOutline w14:w="5103" w14:cap="sq" w14:cmpd="sng">
            <w14:solidFill>
              <w14:srgbClr w14:val="000000"/>
            </w14:solidFill>
            <w14:prstDash w14:val="solid"/>
            <w14:bevel/>
          </w14:textOutline>
        </w:rPr>
        <w:t>核查报告签发</w:t>
      </w:r>
      <w:r>
        <w:rPr>
          <w:rFonts w:ascii="宋体" w:hAnsi="宋体" w:eastAsia="宋体" w:cs="宋体"/>
          <w:sz w:val="28"/>
          <w:szCs w:val="28"/>
          <w14:textOutline w14:w="5103" w14:cap="sq" w14:cmpd="sng">
            <w14:solidFill>
              <w14:srgbClr w14:val="000000"/>
            </w14:solidFill>
            <w14:prstDash w14:val="solid"/>
            <w14:bevel/>
          </w14:textOutline>
        </w:rPr>
        <w:t>日期：</w:t>
      </w:r>
    </w:p>
    <w:p>
      <w:pPr>
        <w:sectPr>
          <w:headerReference r:id="rId5" w:type="default"/>
          <w:pgSz w:w="11906" w:h="16840"/>
          <w:pgMar w:top="400" w:right="0" w:bottom="0" w:left="0" w:header="0" w:footer="0" w:gutter="0"/>
          <w:cols w:space="720" w:num="1"/>
        </w:sectPr>
      </w:pPr>
    </w:p>
    <w:p>
      <w:pPr>
        <w:pStyle w:val="8"/>
        <w:bidi w:val="0"/>
        <w:ind w:left="0" w:leftChars="0" w:firstLine="0" w:firstLineChars="0"/>
        <w:jc w:val="center"/>
        <w:rPr>
          <w:rFonts w:hint="eastAsia" w:eastAsia="宋体"/>
          <w:b/>
          <w:bCs/>
          <w:sz w:val="40"/>
          <w:szCs w:val="40"/>
          <w:lang w:eastAsia="zh-CN"/>
        </w:rPr>
      </w:pPr>
      <w:r>
        <w:rPr>
          <w:rFonts w:hint="eastAsia"/>
          <w:b/>
          <w:bCs/>
          <w:sz w:val="40"/>
          <w:szCs w:val="40"/>
        </w:rPr>
        <w:t>重点排放单位信息表</w:t>
      </w:r>
    </w:p>
    <w:p>
      <w:pPr>
        <w:spacing w:line="180" w:lineRule="exact"/>
      </w:pPr>
    </w:p>
    <w:tbl>
      <w:tblPr>
        <w:tblStyle w:val="16"/>
        <w:tblW w:w="501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
        <w:gridCol w:w="2182"/>
        <w:gridCol w:w="2072"/>
        <w:gridCol w:w="550"/>
        <w:gridCol w:w="855"/>
        <w:gridCol w:w="990"/>
        <w:gridCol w:w="3116"/>
        <w:gridCol w:w="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4" w:hRule="atLeast"/>
          <w:jc w:val="center"/>
        </w:trPr>
        <w:tc>
          <w:tcPr>
            <w:tcW w:w="1117" w:type="pct"/>
            <w:gridSpan w:val="2"/>
            <w:vAlign w:val="center"/>
          </w:tcPr>
          <w:p>
            <w:pPr>
              <w:pStyle w:val="17"/>
              <w:bidi w:val="0"/>
              <w:jc w:val="center"/>
            </w:pPr>
            <w:r>
              <w:t>企业</w:t>
            </w:r>
            <w:r>
              <w:rPr>
                <w:rFonts w:hint="eastAsia"/>
                <w:lang w:eastAsia="zh-CN"/>
              </w:rPr>
              <w:t>（</w:t>
            </w:r>
            <w:r>
              <w:rPr>
                <w:rFonts w:hint="eastAsia"/>
                <w:lang w:val="en-US" w:eastAsia="zh-CN"/>
              </w:rPr>
              <w:t>或</w:t>
            </w:r>
            <w:r>
              <w:t>者其他经济组织</w:t>
            </w:r>
            <w:r>
              <w:rPr>
                <w:rFonts w:hint="eastAsia"/>
                <w:lang w:eastAsia="zh-CN"/>
              </w:rPr>
              <w:t>）</w:t>
            </w:r>
            <w:r>
              <w:t>名称</w:t>
            </w:r>
          </w:p>
        </w:tc>
        <w:tc>
          <w:tcPr>
            <w:tcW w:w="1340" w:type="pct"/>
            <w:gridSpan w:val="2"/>
            <w:vAlign w:val="center"/>
          </w:tcPr>
          <w:p>
            <w:pPr>
              <w:pStyle w:val="17"/>
              <w:bidi w:val="0"/>
              <w:jc w:val="left"/>
              <w:rPr>
                <w:rFonts w:hint="eastAsia"/>
                <w:lang w:eastAsia="zh-CN"/>
              </w:rPr>
            </w:pPr>
            <w:r>
              <w:rPr>
                <w:rFonts w:hint="eastAsia"/>
                <w:lang w:eastAsia="zh-CN"/>
              </w:rPr>
              <w:t>浙江群展精密紧固件股份有限公司</w:t>
            </w:r>
          </w:p>
          <w:p>
            <w:pPr>
              <w:pStyle w:val="17"/>
              <w:bidi w:val="0"/>
              <w:jc w:val="left"/>
              <w:rPr>
                <w:rFonts w:hint="eastAsia"/>
                <w:lang w:eastAsia="zh-CN"/>
              </w:rPr>
            </w:pPr>
          </w:p>
        </w:tc>
        <w:tc>
          <w:tcPr>
            <w:tcW w:w="943" w:type="pct"/>
            <w:gridSpan w:val="2"/>
            <w:vAlign w:val="center"/>
          </w:tcPr>
          <w:p>
            <w:pPr>
              <w:pStyle w:val="17"/>
              <w:bidi w:val="0"/>
              <w:jc w:val="left"/>
              <w:rPr>
                <w:rFonts w:hint="eastAsia"/>
                <w:lang w:eastAsia="zh-CN"/>
              </w:rPr>
            </w:pPr>
            <w:r>
              <w:rPr>
                <w:rFonts w:hint="eastAsia"/>
                <w:lang w:eastAsia="zh-CN"/>
              </w:rPr>
              <w:t>地址</w:t>
            </w:r>
          </w:p>
        </w:tc>
        <w:tc>
          <w:tcPr>
            <w:tcW w:w="1599" w:type="pct"/>
            <w:gridSpan w:val="2"/>
            <w:vAlign w:val="center"/>
          </w:tcPr>
          <w:p>
            <w:pPr>
              <w:pStyle w:val="17"/>
              <w:bidi w:val="0"/>
              <w:jc w:val="left"/>
              <w:rPr>
                <w:rFonts w:hint="eastAsia"/>
                <w:lang w:eastAsia="zh-CN"/>
              </w:rPr>
            </w:pPr>
            <w:r>
              <w:rPr>
                <w:rFonts w:hint="eastAsia"/>
                <w:lang w:eastAsia="zh-CN"/>
              </w:rPr>
              <w:t>浙江省嘉善县干窑镇庄驰中路8号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117" w:type="pct"/>
            <w:gridSpan w:val="2"/>
            <w:vAlign w:val="center"/>
          </w:tcPr>
          <w:p>
            <w:pPr>
              <w:pStyle w:val="17"/>
              <w:bidi w:val="0"/>
              <w:jc w:val="center"/>
              <w:rPr>
                <w:highlight w:val="yellow"/>
              </w:rPr>
            </w:pPr>
            <w:r>
              <w:rPr>
                <w:highlight w:val="none"/>
              </w:rPr>
              <w:t>联系人</w:t>
            </w:r>
          </w:p>
        </w:tc>
        <w:tc>
          <w:tcPr>
            <w:tcW w:w="1340" w:type="pct"/>
            <w:gridSpan w:val="2"/>
            <w:vAlign w:val="center"/>
          </w:tcPr>
          <w:p>
            <w:pPr>
              <w:pStyle w:val="17"/>
              <w:bidi w:val="0"/>
              <w:jc w:val="left"/>
              <w:rPr>
                <w:rFonts w:hint="eastAsia"/>
                <w:lang w:eastAsia="zh-CN"/>
              </w:rPr>
            </w:pPr>
            <w:r>
              <w:rPr>
                <w:rFonts w:hint="eastAsia"/>
                <w:lang w:eastAsia="zh-CN"/>
              </w:rPr>
              <w:t>沈贝萍</w:t>
            </w:r>
          </w:p>
        </w:tc>
        <w:tc>
          <w:tcPr>
            <w:tcW w:w="943" w:type="pct"/>
            <w:gridSpan w:val="2"/>
            <w:vAlign w:val="center"/>
          </w:tcPr>
          <w:p>
            <w:pPr>
              <w:pStyle w:val="17"/>
              <w:bidi w:val="0"/>
              <w:jc w:val="left"/>
              <w:rPr>
                <w:rFonts w:hint="eastAsia"/>
                <w:lang w:eastAsia="zh-CN"/>
              </w:rPr>
            </w:pPr>
            <w:r>
              <w:rPr>
                <w:rFonts w:hint="eastAsia"/>
                <w:lang w:eastAsia="zh-CN"/>
              </w:rPr>
              <w:t xml:space="preserve">联系方式 </w:t>
            </w:r>
          </w:p>
        </w:tc>
        <w:tc>
          <w:tcPr>
            <w:tcW w:w="1599" w:type="pct"/>
            <w:gridSpan w:val="2"/>
            <w:vAlign w:val="center"/>
          </w:tcPr>
          <w:p>
            <w:pPr>
              <w:pStyle w:val="17"/>
              <w:bidi w:val="0"/>
              <w:jc w:val="left"/>
              <w:rPr>
                <w:rFonts w:hint="eastAsia"/>
                <w:lang w:eastAsia="zh-CN"/>
              </w:rPr>
            </w:pPr>
            <w:r>
              <w:rPr>
                <w:rFonts w:hint="eastAsia"/>
                <w:lang w:eastAsia="zh-CN"/>
              </w:rPr>
              <w:t>2573-89110001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0" w:hRule="atLeast"/>
          <w:jc w:val="center"/>
        </w:trPr>
        <w:tc>
          <w:tcPr>
            <w:tcW w:w="5000" w:type="pct"/>
            <w:gridSpan w:val="8"/>
            <w:vAlign w:val="center"/>
          </w:tcPr>
          <w:p>
            <w:pPr>
              <w:pStyle w:val="17"/>
              <w:bidi w:val="0"/>
              <w:jc w:val="left"/>
              <w:rPr>
                <w:highlight w:val="none"/>
              </w:rPr>
            </w:pPr>
            <w:r>
              <w:rPr>
                <w:highlight w:val="none"/>
              </w:rPr>
              <w:t xml:space="preserve">企业 (或者其他经济组织) 名称是否是委托方？  ■是□否，如否，请填写下列委托方信息。 </w:t>
            </w:r>
          </w:p>
          <w:p>
            <w:pPr>
              <w:pStyle w:val="17"/>
              <w:bidi w:val="0"/>
              <w:jc w:val="left"/>
              <w:rPr>
                <w:rFonts w:hint="default" w:eastAsia="宋体"/>
                <w:highlight w:val="none"/>
                <w:lang w:val="en-US" w:eastAsia="zh-CN"/>
              </w:rPr>
            </w:pPr>
            <w:r>
              <w:rPr>
                <w:highlight w:val="none"/>
              </w:rPr>
              <w:t>委托方名称：</w:t>
            </w:r>
            <w:r>
              <w:rPr>
                <w:rFonts w:hint="eastAsia"/>
                <w:highlight w:val="none"/>
                <w:lang w:val="en-US" w:eastAsia="zh-CN"/>
              </w:rPr>
              <w:t xml:space="preserve">            </w:t>
            </w:r>
            <w:r>
              <w:rPr>
                <w:highlight w:val="none"/>
              </w:rPr>
              <w:t xml:space="preserve">  </w:t>
            </w:r>
            <w:r>
              <w:rPr>
                <w:rFonts w:hint="eastAsia"/>
                <w:highlight w:val="none"/>
                <w:lang w:val="en-US" w:eastAsia="zh-CN"/>
              </w:rPr>
              <w:t xml:space="preserve">                        </w:t>
            </w:r>
            <w:r>
              <w:rPr>
                <w:highlight w:val="none"/>
              </w:rPr>
              <w:t>地址：</w:t>
            </w:r>
            <w:r>
              <w:rPr>
                <w:rFonts w:hint="eastAsia"/>
                <w:highlight w:val="none"/>
                <w:lang w:val="en-US" w:eastAsia="zh-CN"/>
              </w:rPr>
              <w:t xml:space="preserve">      </w:t>
            </w:r>
          </w:p>
          <w:p>
            <w:pPr>
              <w:pStyle w:val="17"/>
              <w:bidi w:val="0"/>
              <w:jc w:val="left"/>
              <w:rPr>
                <w:rFonts w:hint="eastAsia" w:eastAsia="宋体"/>
                <w:highlight w:val="yellow"/>
                <w:lang w:eastAsia="zh-CN"/>
              </w:rPr>
            </w:pPr>
            <w:r>
              <w:rPr>
                <w:highlight w:val="none"/>
              </w:rPr>
              <w:t xml:space="preserve">联系人：   </w:t>
            </w:r>
            <w:r>
              <w:rPr>
                <w:rFonts w:hint="eastAsia"/>
                <w:highlight w:val="none"/>
                <w:lang w:val="en-US" w:eastAsia="zh-CN"/>
              </w:rPr>
              <w:t xml:space="preserve">                 </w:t>
            </w:r>
            <w:r>
              <w:rPr>
                <w:highlight w:val="none"/>
              </w:rPr>
              <w:t xml:space="preserve">   </w:t>
            </w:r>
            <w:r>
              <w:rPr>
                <w:rFonts w:hint="eastAsia"/>
                <w:highlight w:val="none"/>
                <w:lang w:val="en-US" w:eastAsia="zh-CN"/>
              </w:rPr>
              <w:t xml:space="preserve">                       </w:t>
            </w:r>
            <w:r>
              <w:rPr>
                <w:highlight w:val="none"/>
              </w:rPr>
              <w:t>联系方式 (电话、email) ：</w:t>
            </w:r>
            <w:r>
              <w:rPr>
                <w:rFonts w:hint="eastAsia"/>
                <w:highlight w:val="none"/>
                <w:lang w:val="en-US"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jc w:val="center"/>
        </w:trPr>
        <w:tc>
          <w:tcPr>
            <w:tcW w:w="1117" w:type="pct"/>
            <w:gridSpan w:val="2"/>
            <w:vAlign w:val="center"/>
          </w:tcPr>
          <w:p>
            <w:pPr>
              <w:pStyle w:val="17"/>
              <w:bidi w:val="0"/>
              <w:jc w:val="center"/>
            </w:pPr>
            <w:r>
              <w:t>企业 (或者其他经济组织) 所属行业领域</w:t>
            </w:r>
          </w:p>
        </w:tc>
        <w:tc>
          <w:tcPr>
            <w:tcW w:w="3882" w:type="pct"/>
            <w:gridSpan w:val="6"/>
            <w:vAlign w:val="center"/>
          </w:tcPr>
          <w:p>
            <w:pPr>
              <w:pStyle w:val="17"/>
              <w:bidi w:val="0"/>
              <w:jc w:val="center"/>
              <w:rPr>
                <w:rFonts w:hint="eastAsia" w:eastAsia="宋体"/>
                <w:lang w:eastAsia="zh-CN"/>
              </w:rPr>
            </w:pPr>
            <w:r>
              <w:rPr>
                <w:rFonts w:hint="eastAsia" w:ascii="Times New Roman" w:hAnsi="Times New Roman"/>
                <w:color w:val="000000"/>
                <w:kern w:val="0"/>
                <w:sz w:val="24"/>
                <w:highlight w:val="none"/>
              </w:rPr>
              <w:t>紧固件</w:t>
            </w:r>
            <w:r>
              <w:rPr>
                <w:rFonts w:ascii="Times New Roman" w:hAnsi="Times New Roman"/>
                <w:color w:val="000000"/>
                <w:kern w:val="0"/>
                <w:sz w:val="24"/>
                <w:highlight w:val="none"/>
              </w:rPr>
              <w:t>制造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22" w:hRule="atLeast"/>
          <w:jc w:val="center"/>
        </w:trPr>
        <w:tc>
          <w:tcPr>
            <w:tcW w:w="1117" w:type="pct"/>
            <w:gridSpan w:val="2"/>
            <w:vAlign w:val="center"/>
          </w:tcPr>
          <w:p>
            <w:pPr>
              <w:pStyle w:val="17"/>
              <w:bidi w:val="0"/>
              <w:jc w:val="center"/>
            </w:pPr>
            <w:r>
              <w:t>企业(或者其他经济组</w:t>
            </w:r>
          </w:p>
          <w:p>
            <w:pPr>
              <w:pStyle w:val="17"/>
              <w:bidi w:val="0"/>
              <w:jc w:val="center"/>
            </w:pPr>
            <w:r>
              <w:t>织) 是否为独立法人</w:t>
            </w:r>
          </w:p>
        </w:tc>
        <w:tc>
          <w:tcPr>
            <w:tcW w:w="3882" w:type="pct"/>
            <w:gridSpan w:val="6"/>
            <w:vAlign w:val="center"/>
          </w:tcPr>
          <w:p>
            <w:pPr>
              <w:pStyle w:val="17"/>
              <w:bidi w:val="0"/>
              <w:jc w:val="center"/>
            </w:pPr>
            <w:r>
              <w:t>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6" w:hRule="atLeast"/>
          <w:jc w:val="center"/>
        </w:trPr>
        <w:tc>
          <w:tcPr>
            <w:tcW w:w="1117" w:type="pct"/>
            <w:gridSpan w:val="2"/>
            <w:vAlign w:val="center"/>
          </w:tcPr>
          <w:p>
            <w:pPr>
              <w:pStyle w:val="17"/>
              <w:bidi w:val="0"/>
              <w:jc w:val="center"/>
            </w:pPr>
            <w:r>
              <w:t>核算和报告依据</w:t>
            </w:r>
          </w:p>
        </w:tc>
        <w:tc>
          <w:tcPr>
            <w:tcW w:w="3882" w:type="pct"/>
            <w:gridSpan w:val="6"/>
            <w:vAlign w:val="center"/>
          </w:tcPr>
          <w:p>
            <w:pPr>
              <w:pStyle w:val="17"/>
              <w:bidi w:val="0"/>
              <w:jc w:val="left"/>
              <w:rPr>
                <w:rFonts w:hint="eastAsia" w:eastAsia="宋体"/>
                <w:lang w:eastAsia="zh-CN"/>
              </w:rPr>
            </w:pPr>
            <w:r>
              <w:t>《</w:t>
            </w:r>
            <w:r>
              <w:rPr>
                <w:rFonts w:hint="eastAsia"/>
                <w:lang w:eastAsia="zh-CN"/>
              </w:rPr>
              <w:t>机械设备制造企业温室气体排放核算方法与报告指南（试行）</w:t>
            </w:r>
            <w:r>
              <w:t>》</w:t>
            </w:r>
            <w:r>
              <w:rPr>
                <w:rFonts w:hint="eastAsia"/>
                <w:lang w:eastAsia="zh-CN"/>
              </w:rPr>
              <w:t>（</w:t>
            </w:r>
            <w:r>
              <w:t>以下简称</w:t>
            </w:r>
            <w:r>
              <w:rPr>
                <w:rFonts w:hint="eastAsia"/>
                <w:lang w:eastAsia="zh-CN"/>
              </w:rPr>
              <w:t>“</w:t>
            </w:r>
            <w:r>
              <w:t>指南</w:t>
            </w:r>
            <w:r>
              <w:rPr>
                <w:rFonts w:hint="eastAsia"/>
                <w:lang w:eastAsia="zh-CN"/>
              </w:rPr>
              <w:t>”）</w:t>
            </w:r>
          </w:p>
          <w:p>
            <w:pPr>
              <w:pStyle w:val="17"/>
              <w:bidi w:val="0"/>
              <w:jc w:val="left"/>
              <w:rPr>
                <w:rFonts w:hint="eastAsia" w:eastAsia="宋体"/>
                <w:lang w:eastAsia="zh-CN"/>
              </w:rPr>
            </w:pPr>
            <w:r>
              <w:t>《国家发展生态环境部办公厅关于做好20</w:t>
            </w:r>
            <w:r>
              <w:rPr>
                <w:rFonts w:hint="eastAsia"/>
                <w:lang w:val="en-US" w:eastAsia="zh-CN"/>
              </w:rPr>
              <w:t>23-2025</w:t>
            </w:r>
            <w:r>
              <w:t>年度碳排放报告与核查及 排放监测计划制定工作的通知》</w:t>
            </w:r>
          </w:p>
          <w:p>
            <w:pPr>
              <w:pStyle w:val="17"/>
              <w:bidi w:val="0"/>
              <w:jc w:val="left"/>
            </w:pPr>
            <w:r>
              <w:t>《浙江省重点企 (事) 业单位温室气体排放核查指南 (试行)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jc w:val="center"/>
        </w:trPr>
        <w:tc>
          <w:tcPr>
            <w:tcW w:w="1117" w:type="pct"/>
            <w:gridSpan w:val="2"/>
            <w:vAlign w:val="center"/>
          </w:tcPr>
          <w:p>
            <w:pPr>
              <w:pStyle w:val="17"/>
              <w:bidi w:val="0"/>
              <w:jc w:val="center"/>
            </w:pPr>
            <w:r>
              <w:t>温 室 气 体 排 放 报 告(初始) 版本/日期</w:t>
            </w:r>
          </w:p>
        </w:tc>
        <w:tc>
          <w:tcPr>
            <w:tcW w:w="3882" w:type="pct"/>
            <w:gridSpan w:val="6"/>
            <w:vAlign w:val="center"/>
          </w:tcPr>
          <w:p>
            <w:pPr>
              <w:pStyle w:val="17"/>
              <w:bidi w:val="0"/>
              <w:jc w:val="center"/>
              <w:rPr>
                <w:rFonts w:hint="default" w:eastAsia="宋体"/>
                <w:lang w:val="en-US" w:eastAsia="zh-CN"/>
              </w:rPr>
            </w:pPr>
            <w:r>
              <w:t>202</w:t>
            </w:r>
            <w:r>
              <w:rPr>
                <w:rFonts w:hint="eastAsia"/>
                <w:lang w:val="en-US" w:eastAsia="zh-CN"/>
              </w:rPr>
              <w:t>3</w:t>
            </w:r>
            <w:r>
              <w:t>.</w:t>
            </w:r>
            <w:r>
              <w:rPr>
                <w:rFonts w:hint="eastAsia"/>
                <w:lang w:val="en-US" w:eastAsia="zh-CN"/>
              </w:rPr>
              <w:t>2</w:t>
            </w:r>
            <w:r>
              <w:t>.</w:t>
            </w:r>
            <w:r>
              <w:rPr>
                <w:rFonts w:hint="eastAsia"/>
                <w:lang w:val="en-US" w:eastAsia="zh-CN"/>
              </w:rPr>
              <w:t>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1117" w:type="pct"/>
            <w:gridSpan w:val="2"/>
            <w:vAlign w:val="center"/>
          </w:tcPr>
          <w:p>
            <w:pPr>
              <w:pStyle w:val="17"/>
              <w:bidi w:val="0"/>
              <w:jc w:val="center"/>
            </w:pPr>
            <w:r>
              <w:t>温 室 气 体 排 放 报 告(最终) 版本/日期</w:t>
            </w:r>
          </w:p>
        </w:tc>
        <w:tc>
          <w:tcPr>
            <w:tcW w:w="3882" w:type="pct"/>
            <w:gridSpan w:val="6"/>
            <w:vAlign w:val="center"/>
          </w:tcPr>
          <w:p>
            <w:pPr>
              <w:pStyle w:val="17"/>
              <w:bidi w:val="0"/>
              <w:jc w:val="center"/>
            </w:pPr>
            <w: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jc w:val="center"/>
        </w:trPr>
        <w:tc>
          <w:tcPr>
            <w:tcW w:w="1117" w:type="pct"/>
            <w:gridSpan w:val="2"/>
            <w:vAlign w:val="center"/>
          </w:tcPr>
          <w:p>
            <w:pPr>
              <w:pStyle w:val="17"/>
              <w:bidi w:val="0"/>
              <w:jc w:val="center"/>
            </w:pPr>
            <w:r>
              <w:t>排放量</w:t>
            </w:r>
          </w:p>
        </w:tc>
        <w:tc>
          <w:tcPr>
            <w:tcW w:w="1340" w:type="pct"/>
            <w:gridSpan w:val="2"/>
            <w:vAlign w:val="center"/>
          </w:tcPr>
          <w:p>
            <w:pPr>
              <w:pStyle w:val="17"/>
              <w:bidi w:val="0"/>
              <w:jc w:val="center"/>
            </w:pPr>
            <w:r>
              <w:t>按指南核算的企业法人边界的温室气体排放总量</w:t>
            </w:r>
          </w:p>
        </w:tc>
        <w:tc>
          <w:tcPr>
            <w:tcW w:w="2542" w:type="pct"/>
            <w:gridSpan w:val="4"/>
            <w:vAlign w:val="center"/>
          </w:tcPr>
          <w:p>
            <w:pPr>
              <w:pStyle w:val="17"/>
              <w:bidi w:val="0"/>
              <w:jc w:val="center"/>
            </w:pPr>
            <w:r>
              <w:t>按补充数据表填报的二氧化碳排放总量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jc w:val="center"/>
        </w:trPr>
        <w:tc>
          <w:tcPr>
            <w:tcW w:w="1117" w:type="pct"/>
            <w:gridSpan w:val="2"/>
            <w:vAlign w:val="center"/>
          </w:tcPr>
          <w:p>
            <w:pPr>
              <w:pStyle w:val="17"/>
              <w:bidi w:val="0"/>
              <w:jc w:val="center"/>
            </w:pPr>
            <w:r>
              <w:t>初始报告的排放量</w:t>
            </w:r>
          </w:p>
        </w:tc>
        <w:tc>
          <w:tcPr>
            <w:tcW w:w="1340" w:type="pct"/>
            <w:gridSpan w:val="2"/>
            <w:vAlign w:val="center"/>
          </w:tcPr>
          <w:p>
            <w:pPr>
              <w:pStyle w:val="17"/>
              <w:bidi w:val="0"/>
              <w:jc w:val="center"/>
              <w:rPr>
                <w:highlight w:val="none"/>
              </w:rPr>
            </w:pPr>
            <w:r>
              <w:rPr>
                <w:rFonts w:hint="eastAsia"/>
                <w:highlight w:val="none"/>
                <w:lang w:val="en-US" w:eastAsia="zh-CN"/>
              </w:rPr>
              <w:t>3620.447</w:t>
            </w:r>
            <w:r>
              <w:rPr>
                <w:highlight w:val="none"/>
              </w:rPr>
              <w:t xml:space="preserve">   tCO</w:t>
            </w:r>
            <w:r>
              <w:rPr>
                <w:highlight w:val="none"/>
                <w:vertAlign w:val="subscript"/>
              </w:rPr>
              <w:t>2</w:t>
            </w:r>
            <w:r>
              <w:rPr>
                <w:highlight w:val="none"/>
              </w:rPr>
              <w:t>e</w:t>
            </w:r>
          </w:p>
        </w:tc>
        <w:tc>
          <w:tcPr>
            <w:tcW w:w="2542" w:type="pct"/>
            <w:gridSpan w:val="4"/>
            <w:vAlign w:val="center"/>
          </w:tcPr>
          <w:p>
            <w:pPr>
              <w:pStyle w:val="17"/>
              <w:bidi w:val="0"/>
              <w:jc w:val="center"/>
            </w:pPr>
            <w: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117" w:type="pct"/>
            <w:gridSpan w:val="2"/>
            <w:vAlign w:val="center"/>
          </w:tcPr>
          <w:p>
            <w:pPr>
              <w:pStyle w:val="17"/>
              <w:bidi w:val="0"/>
              <w:jc w:val="center"/>
            </w:pPr>
            <w:r>
              <w:t>经核查后的排放量</w:t>
            </w:r>
          </w:p>
        </w:tc>
        <w:tc>
          <w:tcPr>
            <w:tcW w:w="1340" w:type="pct"/>
            <w:gridSpan w:val="2"/>
            <w:vAlign w:val="center"/>
          </w:tcPr>
          <w:p>
            <w:pPr>
              <w:pStyle w:val="17"/>
              <w:bidi w:val="0"/>
              <w:jc w:val="center"/>
              <w:rPr>
                <w:highlight w:val="none"/>
              </w:rPr>
            </w:pPr>
            <w:r>
              <w:rPr>
                <w:rFonts w:hint="eastAsia"/>
                <w:highlight w:val="none"/>
                <w:lang w:val="en-US" w:eastAsia="zh-CN"/>
              </w:rPr>
              <w:t>3620.447</w:t>
            </w:r>
            <w:r>
              <w:rPr>
                <w:highlight w:val="none"/>
              </w:rPr>
              <w:t xml:space="preserve">    tCO</w:t>
            </w:r>
            <w:r>
              <w:rPr>
                <w:highlight w:val="none"/>
                <w:vertAlign w:val="subscript"/>
              </w:rPr>
              <w:t>2</w:t>
            </w:r>
            <w:r>
              <w:rPr>
                <w:highlight w:val="none"/>
              </w:rPr>
              <w:t>e</w:t>
            </w:r>
          </w:p>
        </w:tc>
        <w:tc>
          <w:tcPr>
            <w:tcW w:w="2542" w:type="pct"/>
            <w:gridSpan w:val="4"/>
            <w:vAlign w:val="center"/>
          </w:tcPr>
          <w:p>
            <w:pPr>
              <w:pStyle w:val="17"/>
              <w:bidi w:val="0"/>
              <w:jc w:val="center"/>
            </w:pPr>
            <w: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3" w:hRule="atLeast"/>
          <w:jc w:val="center"/>
        </w:trPr>
        <w:tc>
          <w:tcPr>
            <w:tcW w:w="1117" w:type="pct"/>
            <w:gridSpan w:val="2"/>
            <w:vAlign w:val="center"/>
          </w:tcPr>
          <w:p>
            <w:pPr>
              <w:pStyle w:val="17"/>
              <w:bidi w:val="0"/>
              <w:jc w:val="center"/>
            </w:pPr>
            <w:r>
              <w:t>初始报告排放量和经 核查后排放量差异的</w:t>
            </w:r>
          </w:p>
          <w:p>
            <w:pPr>
              <w:pStyle w:val="17"/>
              <w:bidi w:val="0"/>
              <w:jc w:val="center"/>
            </w:pPr>
            <w:r>
              <w:t>说明</w:t>
            </w:r>
          </w:p>
        </w:tc>
        <w:tc>
          <w:tcPr>
            <w:tcW w:w="1340" w:type="pct"/>
            <w:gridSpan w:val="2"/>
            <w:vAlign w:val="center"/>
          </w:tcPr>
          <w:p>
            <w:pPr>
              <w:pStyle w:val="17"/>
              <w:bidi w:val="0"/>
              <w:jc w:val="center"/>
            </w:pPr>
            <w:r>
              <w:t>初始报告排放量和经核查后排放量一致</w:t>
            </w:r>
          </w:p>
        </w:tc>
        <w:tc>
          <w:tcPr>
            <w:tcW w:w="2542" w:type="pct"/>
            <w:gridSpan w:val="4"/>
            <w:vAlign w:val="center"/>
          </w:tcPr>
          <w:p>
            <w:pPr>
              <w:pStyle w:val="17"/>
              <w:bidi w:val="0"/>
              <w:jc w:val="center"/>
            </w:pPr>
            <w:r>
              <w:t>不涉及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gridAfter w:val="1"/>
          <w:wBefore w:w="2" w:type="pct"/>
          <w:wAfter w:w="7" w:type="pct"/>
          <w:trHeight w:val="4624" w:hRule="atLeast"/>
          <w:jc w:val="center"/>
        </w:trPr>
        <w:tc>
          <w:tcPr>
            <w:tcW w:w="4990" w:type="pct"/>
            <w:gridSpan w:val="6"/>
            <w:vAlign w:val="center"/>
          </w:tcPr>
          <w:p>
            <w:pPr>
              <w:pStyle w:val="17"/>
              <w:keepNext w:val="0"/>
              <w:keepLines w:val="0"/>
              <w:pageBreakBefore w:val="0"/>
              <w:widowControl/>
              <w:kinsoku w:val="0"/>
              <w:wordWrap/>
              <w:overflowPunct/>
              <w:topLinePunct w:val="0"/>
              <w:autoSpaceDE w:val="0"/>
              <w:autoSpaceDN w:val="0"/>
              <w:bidi w:val="0"/>
              <w:adjustRightInd w:val="0"/>
              <w:snapToGrid w:val="0"/>
              <w:jc w:val="both"/>
              <w:textAlignment w:val="baseline"/>
            </w:pPr>
            <w:r>
              <w:t>核查结论：</w:t>
            </w:r>
          </w:p>
          <w:p>
            <w:pPr>
              <w:pStyle w:val="17"/>
              <w:keepNext w:val="0"/>
              <w:keepLines w:val="0"/>
              <w:pageBreakBefore w:val="0"/>
              <w:widowControl/>
              <w:kinsoku w:val="0"/>
              <w:wordWrap/>
              <w:overflowPunct/>
              <w:topLinePunct w:val="0"/>
              <w:autoSpaceDE w:val="0"/>
              <w:autoSpaceDN w:val="0"/>
              <w:bidi w:val="0"/>
              <w:adjustRightInd w:val="0"/>
              <w:snapToGrid w:val="0"/>
              <w:jc w:val="both"/>
              <w:textAlignment w:val="baseline"/>
            </w:pPr>
            <w:r>
              <w:t>1．排放报告与核算指南的符合性</w:t>
            </w:r>
          </w:p>
          <w:p>
            <w:pPr>
              <w:pStyle w:val="17"/>
              <w:keepNext w:val="0"/>
              <w:keepLines w:val="0"/>
              <w:pageBreakBefore w:val="0"/>
              <w:widowControl/>
              <w:kinsoku w:val="0"/>
              <w:wordWrap/>
              <w:overflowPunct/>
              <w:topLinePunct w:val="0"/>
              <w:autoSpaceDE w:val="0"/>
              <w:autoSpaceDN w:val="0"/>
              <w:bidi w:val="0"/>
              <w:adjustRightInd w:val="0"/>
              <w:snapToGrid w:val="0"/>
              <w:ind w:firstLine="456" w:firstLineChars="200"/>
              <w:jc w:val="both"/>
              <w:textAlignment w:val="baseline"/>
            </w:pPr>
            <w:r>
              <w:t>基于文件评审和现场访问，在所有不符合项关闭之后，核查小组确认：</w:t>
            </w:r>
          </w:p>
          <w:p>
            <w:pPr>
              <w:pStyle w:val="17"/>
              <w:keepNext w:val="0"/>
              <w:keepLines w:val="0"/>
              <w:pageBreakBefore w:val="0"/>
              <w:widowControl/>
              <w:kinsoku w:val="0"/>
              <w:wordWrap/>
              <w:overflowPunct/>
              <w:topLinePunct w:val="0"/>
              <w:autoSpaceDE w:val="0"/>
              <w:autoSpaceDN w:val="0"/>
              <w:bidi w:val="0"/>
              <w:adjustRightInd w:val="0"/>
              <w:snapToGrid w:val="0"/>
              <w:ind w:firstLine="456" w:firstLineChars="200"/>
              <w:jc w:val="both"/>
              <w:textAlignment w:val="baseline"/>
            </w:pPr>
            <w:r>
              <w:rPr>
                <w:rFonts w:hint="eastAsia"/>
                <w:lang w:eastAsia="zh-CN"/>
              </w:rPr>
              <w:t>浙江群展精密紧固件股份有限公司</w:t>
            </w:r>
            <w:r>
              <w:t>202</w:t>
            </w:r>
            <w:r>
              <w:rPr>
                <w:rFonts w:hint="eastAsia"/>
                <w:lang w:val="en-US" w:eastAsia="zh-CN"/>
              </w:rPr>
              <w:t>2</w:t>
            </w:r>
            <w:r>
              <w:t>年度的排放报告与核算方法符合《</w:t>
            </w:r>
            <w:r>
              <w:rPr>
                <w:rFonts w:hint="eastAsia"/>
                <w:lang w:eastAsia="zh-CN"/>
              </w:rPr>
              <w:t>机械设备制造企业温室气体排放核算方法与报告指南（试行）</w:t>
            </w:r>
            <w:r>
              <w:t>》和《</w:t>
            </w:r>
            <w:r>
              <w:rPr>
                <w:rFonts w:hint="eastAsia"/>
              </w:rPr>
              <w:t>关于做好2023—2025年发电行业企业温室气体排放报告管理有关工作的通知</w:t>
            </w:r>
            <w:r>
              <w:t xml:space="preserve">》的要求。        </w:t>
            </w:r>
          </w:p>
          <w:p>
            <w:pPr>
              <w:pStyle w:val="17"/>
              <w:keepNext w:val="0"/>
              <w:keepLines w:val="0"/>
              <w:pageBreakBefore w:val="0"/>
              <w:widowControl/>
              <w:kinsoku w:val="0"/>
              <w:wordWrap/>
              <w:overflowPunct/>
              <w:topLinePunct w:val="0"/>
              <w:autoSpaceDE w:val="0"/>
              <w:autoSpaceDN w:val="0"/>
              <w:bidi w:val="0"/>
              <w:adjustRightInd w:val="0"/>
              <w:snapToGrid w:val="0"/>
              <w:jc w:val="both"/>
              <w:textAlignment w:val="baseline"/>
            </w:pPr>
            <w:r>
              <w:t>2.排放量声明</w:t>
            </w:r>
          </w:p>
          <w:p>
            <w:pPr>
              <w:pStyle w:val="17"/>
              <w:keepNext w:val="0"/>
              <w:keepLines w:val="0"/>
              <w:pageBreakBefore w:val="0"/>
              <w:widowControl/>
              <w:kinsoku w:val="0"/>
              <w:wordWrap/>
              <w:overflowPunct/>
              <w:topLinePunct w:val="0"/>
              <w:autoSpaceDE w:val="0"/>
              <w:autoSpaceDN w:val="0"/>
              <w:bidi w:val="0"/>
              <w:adjustRightInd w:val="0"/>
              <w:snapToGrid w:val="0"/>
              <w:jc w:val="both"/>
              <w:textAlignment w:val="baseline"/>
            </w:pPr>
            <w:r>
              <w:t>2.1 按照核算方法和报告指南核算的企业温室气体排放总量的声明</w:t>
            </w:r>
          </w:p>
          <w:p>
            <w:pPr>
              <w:pStyle w:val="17"/>
              <w:keepNext w:val="0"/>
              <w:keepLines w:val="0"/>
              <w:pageBreakBefore w:val="0"/>
              <w:widowControl/>
              <w:kinsoku w:val="0"/>
              <w:wordWrap/>
              <w:overflowPunct/>
              <w:topLinePunct w:val="0"/>
              <w:autoSpaceDE w:val="0"/>
              <w:autoSpaceDN w:val="0"/>
              <w:bidi w:val="0"/>
              <w:adjustRightInd w:val="0"/>
              <w:snapToGrid w:val="0"/>
              <w:ind w:firstLine="456" w:firstLineChars="200"/>
              <w:jc w:val="both"/>
              <w:textAlignment w:val="baseline"/>
            </w:pPr>
            <w:r>
              <w:rPr>
                <w:rFonts w:hint="eastAsia"/>
                <w:lang w:eastAsia="zh-CN"/>
              </w:rPr>
              <w:t>浙江群展精密紧固件股份有限公司</w:t>
            </w:r>
            <w:r>
              <w:t>202</w:t>
            </w:r>
            <w:r>
              <w:rPr>
                <w:rFonts w:hint="eastAsia"/>
                <w:lang w:val="en-US" w:eastAsia="zh-CN"/>
              </w:rPr>
              <w:t>2</w:t>
            </w:r>
            <w:r>
              <w:t>年度不涉及，工业生产过程 CO</w:t>
            </w:r>
            <w:r>
              <w:rPr>
                <w:vertAlign w:val="subscript"/>
              </w:rPr>
              <w:t>2</w:t>
            </w:r>
            <w:r>
              <w:t>排放</w:t>
            </w:r>
            <w:r>
              <w:rPr>
                <w:rFonts w:hint="eastAsia"/>
                <w:lang w:eastAsia="zh-CN"/>
              </w:rPr>
              <w:t>、</w:t>
            </w:r>
            <w:r>
              <w:t>工业生产过程N</w:t>
            </w:r>
            <w:r>
              <w:rPr>
                <w:vertAlign w:val="subscript"/>
              </w:rPr>
              <w:t>2</w:t>
            </w:r>
            <w:r>
              <w:t>O排放、CO</w:t>
            </w:r>
            <w:r>
              <w:rPr>
                <w:vertAlign w:val="subscript"/>
              </w:rPr>
              <w:t>2</w:t>
            </w:r>
            <w:r>
              <w:t>回收利用量，化石燃料燃烧排放二氧化碳排放</w:t>
            </w:r>
            <w:r>
              <w:rPr>
                <w:rFonts w:hint="eastAsia"/>
                <w:lang w:val="en-US" w:eastAsia="zh-CN"/>
              </w:rPr>
              <w:t>量为101.696吨，</w:t>
            </w:r>
            <w:r>
              <w:t>净购入电力消费引起的排放量</w:t>
            </w:r>
            <w:r>
              <w:rPr>
                <w:highlight w:val="none"/>
              </w:rPr>
              <w:t>为</w:t>
            </w:r>
            <w:r>
              <w:rPr>
                <w:rFonts w:hint="eastAsia"/>
                <w:highlight w:val="none"/>
                <w:lang w:val="en-US" w:eastAsia="zh-CN"/>
              </w:rPr>
              <w:t>3518.751</w:t>
            </w:r>
            <w:r>
              <w:rPr>
                <w:highlight w:val="none"/>
              </w:rPr>
              <w:t>吨二氧化碳。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gridAfter w:val="1"/>
          <w:wBefore w:w="2" w:type="pct"/>
          <w:wAfter w:w="7" w:type="pct"/>
          <w:trHeight w:val="2874" w:hRule="atLeast"/>
          <w:jc w:val="center"/>
        </w:trPr>
        <w:tc>
          <w:tcPr>
            <w:tcW w:w="4990" w:type="pct"/>
            <w:gridSpan w:val="6"/>
            <w:vAlign w:val="center"/>
          </w:tcPr>
          <w:p>
            <w:pPr>
              <w:pStyle w:val="17"/>
              <w:keepNext w:val="0"/>
              <w:keepLines w:val="0"/>
              <w:pageBreakBefore w:val="0"/>
              <w:widowControl/>
              <w:kinsoku w:val="0"/>
              <w:wordWrap/>
              <w:overflowPunct/>
              <w:topLinePunct w:val="0"/>
              <w:autoSpaceDE w:val="0"/>
              <w:autoSpaceDN w:val="0"/>
              <w:bidi w:val="0"/>
              <w:adjustRightInd w:val="0"/>
              <w:snapToGrid w:val="0"/>
              <w:jc w:val="both"/>
              <w:textAlignment w:val="baseline"/>
            </w:pPr>
            <w:r>
              <w:t>2.补充数据表填报的二氧化碳排放量声明</w:t>
            </w:r>
          </w:p>
          <w:p>
            <w:pPr>
              <w:pStyle w:val="17"/>
              <w:keepNext w:val="0"/>
              <w:keepLines w:val="0"/>
              <w:pageBreakBefore w:val="0"/>
              <w:widowControl/>
              <w:kinsoku w:val="0"/>
              <w:wordWrap/>
              <w:overflowPunct/>
              <w:topLinePunct w:val="0"/>
              <w:autoSpaceDE w:val="0"/>
              <w:autoSpaceDN w:val="0"/>
              <w:bidi w:val="0"/>
              <w:adjustRightInd w:val="0"/>
              <w:snapToGrid w:val="0"/>
              <w:ind w:firstLine="456" w:firstLineChars="200"/>
              <w:jc w:val="both"/>
              <w:textAlignment w:val="baseline"/>
            </w:pPr>
            <w:r>
              <w:rPr>
                <w:rFonts w:hint="eastAsia"/>
                <w:lang w:eastAsia="zh-CN"/>
              </w:rPr>
              <w:t>浙江群展精密紧固件股份有限公司</w:t>
            </w:r>
            <w:r>
              <w:rPr>
                <w:rFonts w:ascii="Times New Roman" w:hAnsi="Times New Roman" w:cs="Times New Roman"/>
                <w:position w:val="14"/>
              </w:rPr>
              <w:t>为非碳交易企业，不存在补充数据表的核查，故补充数据表的二氧化碳排放量为0</w:t>
            </w:r>
            <w:r>
              <w:rPr>
                <w:rFonts w:hint="eastAsia" w:ascii="Times New Roman" w:hAnsi="Times New Roman" w:cs="Times New Roman"/>
                <w:position w:val="14"/>
                <w:lang w:val="en-US" w:eastAsia="zh-CN"/>
              </w:rPr>
              <w:t xml:space="preserve"> </w:t>
            </w:r>
            <w:r>
              <w:rPr>
                <w:rFonts w:ascii="Times New Roman" w:hAnsi="Times New Roman" w:cs="Times New Roman"/>
                <w:position w:val="14"/>
              </w:rPr>
              <w:t>tCO</w:t>
            </w:r>
            <w:r>
              <w:rPr>
                <w:rFonts w:ascii="Times New Roman" w:hAnsi="Times New Roman" w:cs="Times New Roman"/>
                <w:position w:val="14"/>
                <w:vertAlign w:val="subscript"/>
              </w:rPr>
              <w:t>2</w:t>
            </w:r>
            <w:r>
              <w:rPr>
                <w:rFonts w:ascii="Times New Roman" w:hAnsi="Times New Roman" w:cs="Times New Roman"/>
                <w:position w:val="14"/>
              </w:rPr>
              <w:t>e。</w:t>
            </w:r>
          </w:p>
          <w:p>
            <w:pPr>
              <w:pStyle w:val="17"/>
              <w:keepNext w:val="0"/>
              <w:keepLines w:val="0"/>
              <w:pageBreakBefore w:val="0"/>
              <w:widowControl/>
              <w:kinsoku w:val="0"/>
              <w:wordWrap/>
              <w:overflowPunct/>
              <w:topLinePunct w:val="0"/>
              <w:autoSpaceDE w:val="0"/>
              <w:autoSpaceDN w:val="0"/>
              <w:bidi w:val="0"/>
              <w:adjustRightInd w:val="0"/>
              <w:snapToGrid w:val="0"/>
              <w:jc w:val="both"/>
              <w:textAlignment w:val="baseline"/>
            </w:pPr>
            <w:r>
              <w:t>3．排放量存在异常波动的原因说明</w:t>
            </w:r>
          </w:p>
          <w:p>
            <w:pPr>
              <w:pStyle w:val="17"/>
              <w:keepNext w:val="0"/>
              <w:keepLines w:val="0"/>
              <w:pageBreakBefore w:val="0"/>
              <w:widowControl/>
              <w:kinsoku w:val="0"/>
              <w:wordWrap/>
              <w:overflowPunct/>
              <w:topLinePunct w:val="0"/>
              <w:autoSpaceDE w:val="0"/>
              <w:autoSpaceDN w:val="0"/>
              <w:bidi w:val="0"/>
              <w:adjustRightInd w:val="0"/>
              <w:snapToGrid w:val="0"/>
              <w:ind w:firstLine="456" w:firstLineChars="200"/>
              <w:jc w:val="both"/>
              <w:textAlignment w:val="baseline"/>
            </w:pPr>
            <w:r>
              <w:rPr>
                <w:rFonts w:hint="eastAsia"/>
                <w:lang w:eastAsia="zh-CN"/>
              </w:rPr>
              <w:t>浙江群展精密紧固件股份有限公司</w:t>
            </w:r>
            <w:r>
              <w:rPr>
                <w:rFonts w:hint="eastAsia"/>
                <w:highlight w:val="none"/>
                <w:lang w:eastAsia="zh-CN"/>
              </w:rPr>
              <w:t>202</w:t>
            </w:r>
            <w:r>
              <w:rPr>
                <w:rFonts w:hint="eastAsia"/>
                <w:highlight w:val="none"/>
                <w:lang w:val="en-US" w:eastAsia="zh-CN"/>
              </w:rPr>
              <w:t>2</w:t>
            </w:r>
            <w:r>
              <w:rPr>
                <w:rFonts w:hint="eastAsia"/>
                <w:highlight w:val="none"/>
                <w:lang w:eastAsia="zh-CN"/>
              </w:rPr>
              <w:t>年</w:t>
            </w:r>
            <w:r>
              <w:rPr>
                <w:highlight w:val="none"/>
              </w:rPr>
              <w:t>度未进行</w:t>
            </w:r>
            <w:r>
              <w:rPr>
                <w:rFonts w:hint="eastAsia"/>
                <w:highlight w:val="none"/>
                <w:lang w:val="en-US" w:eastAsia="zh-CN"/>
              </w:rPr>
              <w:t>第三方</w:t>
            </w:r>
            <w:r>
              <w:rPr>
                <w:highlight w:val="none"/>
              </w:rPr>
              <w:t>碳核查工作，此处不作排放量异常分析。</w:t>
            </w:r>
          </w:p>
          <w:p>
            <w:pPr>
              <w:pStyle w:val="17"/>
              <w:keepNext w:val="0"/>
              <w:keepLines w:val="0"/>
              <w:pageBreakBefore w:val="0"/>
              <w:widowControl/>
              <w:kinsoku w:val="0"/>
              <w:wordWrap/>
              <w:overflowPunct/>
              <w:topLinePunct w:val="0"/>
              <w:autoSpaceDE w:val="0"/>
              <w:autoSpaceDN w:val="0"/>
              <w:bidi w:val="0"/>
              <w:adjustRightInd w:val="0"/>
              <w:snapToGrid w:val="0"/>
              <w:jc w:val="both"/>
              <w:textAlignment w:val="baseline"/>
            </w:pPr>
            <w:r>
              <w:t>4．核查过程中未覆盖的问题或者特别需要说明的问题描述</w:t>
            </w:r>
          </w:p>
          <w:p>
            <w:pPr>
              <w:pStyle w:val="17"/>
              <w:keepNext w:val="0"/>
              <w:keepLines w:val="0"/>
              <w:pageBreakBefore w:val="0"/>
              <w:widowControl/>
              <w:kinsoku w:val="0"/>
              <w:wordWrap/>
              <w:overflowPunct/>
              <w:topLinePunct w:val="0"/>
              <w:autoSpaceDE w:val="0"/>
              <w:autoSpaceDN w:val="0"/>
              <w:bidi w:val="0"/>
              <w:adjustRightInd w:val="0"/>
              <w:snapToGrid w:val="0"/>
              <w:ind w:firstLine="456" w:firstLineChars="200"/>
              <w:jc w:val="both"/>
              <w:textAlignment w:val="baseline"/>
            </w:pPr>
            <w:r>
              <w:rPr>
                <w:rFonts w:hint="eastAsia"/>
                <w:lang w:eastAsia="zh-CN"/>
              </w:rPr>
              <w:t>浙江群展精密紧固件股份有限公司</w:t>
            </w:r>
            <w:r>
              <w:t>202</w:t>
            </w:r>
            <w:r>
              <w:rPr>
                <w:rFonts w:hint="eastAsia"/>
                <w:lang w:val="en-US" w:eastAsia="zh-CN"/>
              </w:rPr>
              <w:t>2</w:t>
            </w:r>
            <w:r>
              <w:t>年度的核查过程中无未覆盖的问题，无特别需要说明的问题。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gridAfter w:val="1"/>
          <w:wBefore w:w="2" w:type="pct"/>
          <w:wAfter w:w="7" w:type="pct"/>
          <w:trHeight w:val="445" w:hRule="atLeast"/>
          <w:jc w:val="center"/>
        </w:trPr>
        <w:tc>
          <w:tcPr>
            <w:tcW w:w="1114" w:type="pct"/>
            <w:vAlign w:val="center"/>
          </w:tcPr>
          <w:p>
            <w:pPr>
              <w:pStyle w:val="17"/>
              <w:bidi w:val="0"/>
            </w:pPr>
            <w:r>
              <w:t>核查组长</w:t>
            </w:r>
          </w:p>
        </w:tc>
        <w:tc>
          <w:tcPr>
            <w:tcW w:w="1059" w:type="pct"/>
            <w:vAlign w:val="center"/>
          </w:tcPr>
          <w:p>
            <w:pPr>
              <w:pStyle w:val="17"/>
              <w:bidi w:val="0"/>
            </w:pPr>
            <w:r>
              <w:t>俞聪</w:t>
            </w:r>
          </w:p>
        </w:tc>
        <w:tc>
          <w:tcPr>
            <w:tcW w:w="718" w:type="pct"/>
            <w:gridSpan w:val="2"/>
            <w:vAlign w:val="center"/>
          </w:tcPr>
          <w:p>
            <w:pPr>
              <w:pStyle w:val="17"/>
              <w:bidi w:val="0"/>
            </w:pPr>
            <w:r>
              <w:t>签名</w:t>
            </w:r>
          </w:p>
        </w:tc>
        <w:tc>
          <w:tcPr>
            <w:tcW w:w="2097" w:type="pct"/>
            <w:gridSpan w:val="2"/>
            <w:vAlign w:val="center"/>
          </w:tcPr>
          <w:p>
            <w:pPr>
              <w:pStyle w:val="17"/>
              <w:bidi w:val="0"/>
            </w:pPr>
            <w:r>
              <w:drawing>
                <wp:inline distT="0" distB="0" distL="0" distR="0">
                  <wp:extent cx="484505" cy="27114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31"/>
                          <a:stretch>
                            <a:fillRect/>
                          </a:stretch>
                        </pic:blipFill>
                        <pic:spPr>
                          <a:xfrm>
                            <a:off x="0" y="0"/>
                            <a:ext cx="484632" cy="271271"/>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gridAfter w:val="1"/>
          <w:wBefore w:w="2" w:type="pct"/>
          <w:wAfter w:w="7" w:type="pct"/>
          <w:trHeight w:val="545" w:hRule="atLeast"/>
          <w:jc w:val="center"/>
        </w:trPr>
        <w:tc>
          <w:tcPr>
            <w:tcW w:w="1114" w:type="pct"/>
            <w:vAlign w:val="center"/>
          </w:tcPr>
          <w:p>
            <w:pPr>
              <w:pStyle w:val="17"/>
              <w:bidi w:val="0"/>
            </w:pPr>
            <w:r>
              <w:t>核查组成员</w:t>
            </w:r>
          </w:p>
        </w:tc>
        <w:tc>
          <w:tcPr>
            <w:tcW w:w="1059" w:type="pct"/>
            <w:vAlign w:val="center"/>
          </w:tcPr>
          <w:p>
            <w:pPr>
              <w:pStyle w:val="17"/>
              <w:bidi w:val="0"/>
            </w:pPr>
            <w:r>
              <w:t>张建华</w:t>
            </w:r>
          </w:p>
        </w:tc>
        <w:tc>
          <w:tcPr>
            <w:tcW w:w="718" w:type="pct"/>
            <w:gridSpan w:val="2"/>
            <w:vAlign w:val="center"/>
          </w:tcPr>
          <w:p>
            <w:pPr>
              <w:pStyle w:val="17"/>
              <w:bidi w:val="0"/>
            </w:pPr>
            <w:r>
              <w:t>签名</w:t>
            </w:r>
          </w:p>
        </w:tc>
        <w:tc>
          <w:tcPr>
            <w:tcW w:w="2097" w:type="pct"/>
            <w:gridSpan w:val="2"/>
            <w:vAlign w:val="center"/>
          </w:tcPr>
          <w:p>
            <w:pPr>
              <w:pStyle w:val="17"/>
              <w:bidi w:val="0"/>
            </w:pPr>
            <w:r>
              <w:drawing>
                <wp:inline distT="0" distB="0" distL="0" distR="0">
                  <wp:extent cx="557530" cy="333375"/>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32"/>
                          <a:stretch>
                            <a:fillRect/>
                          </a:stretch>
                        </pic:blipFill>
                        <pic:spPr>
                          <a:xfrm>
                            <a:off x="0" y="0"/>
                            <a:ext cx="557784" cy="333755"/>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gridBefore w:val="1"/>
          <w:gridAfter w:val="1"/>
          <w:wBefore w:w="2" w:type="pct"/>
          <w:wAfter w:w="7" w:type="pct"/>
          <w:trHeight w:val="645" w:hRule="atLeast"/>
          <w:jc w:val="center"/>
        </w:trPr>
        <w:tc>
          <w:tcPr>
            <w:tcW w:w="1114" w:type="pct"/>
            <w:vAlign w:val="center"/>
          </w:tcPr>
          <w:p>
            <w:pPr>
              <w:pStyle w:val="17"/>
              <w:bidi w:val="0"/>
            </w:pPr>
            <w:r>
              <w:t>技术复核人</w:t>
            </w:r>
          </w:p>
        </w:tc>
        <w:tc>
          <w:tcPr>
            <w:tcW w:w="1059" w:type="pct"/>
            <w:vAlign w:val="center"/>
          </w:tcPr>
          <w:p>
            <w:pPr>
              <w:pStyle w:val="17"/>
              <w:bidi w:val="0"/>
            </w:pPr>
            <w:r>
              <w:t>陈志刚</w:t>
            </w:r>
          </w:p>
        </w:tc>
        <w:tc>
          <w:tcPr>
            <w:tcW w:w="718" w:type="pct"/>
            <w:gridSpan w:val="2"/>
            <w:vAlign w:val="center"/>
          </w:tcPr>
          <w:p>
            <w:pPr>
              <w:pStyle w:val="17"/>
              <w:bidi w:val="0"/>
            </w:pPr>
            <w:r>
              <w:t>签名</w:t>
            </w:r>
          </w:p>
        </w:tc>
        <w:tc>
          <w:tcPr>
            <w:tcW w:w="2097" w:type="pct"/>
            <w:gridSpan w:val="2"/>
            <w:vAlign w:val="center"/>
          </w:tcPr>
          <w:p>
            <w:pPr>
              <w:pStyle w:val="17"/>
              <w:bidi w:val="0"/>
            </w:pPr>
            <w:r>
              <w:drawing>
                <wp:inline distT="0" distB="0" distL="0" distR="0">
                  <wp:extent cx="488950" cy="40513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33"/>
                          <a:stretch>
                            <a:fillRect/>
                          </a:stretch>
                        </pic:blipFill>
                        <pic:spPr>
                          <a:xfrm>
                            <a:off x="0" y="0"/>
                            <a:ext cx="489203" cy="405384"/>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gridAfter w:val="1"/>
          <w:wBefore w:w="2" w:type="pct"/>
          <w:wAfter w:w="7" w:type="pct"/>
          <w:trHeight w:val="589" w:hRule="atLeast"/>
          <w:jc w:val="center"/>
        </w:trPr>
        <w:tc>
          <w:tcPr>
            <w:tcW w:w="1114" w:type="pct"/>
            <w:vAlign w:val="center"/>
          </w:tcPr>
          <w:p>
            <w:pPr>
              <w:pStyle w:val="17"/>
              <w:bidi w:val="0"/>
            </w:pPr>
            <w:r>
              <w:t>批准人</w:t>
            </w:r>
          </w:p>
        </w:tc>
        <w:tc>
          <w:tcPr>
            <w:tcW w:w="1059" w:type="pct"/>
            <w:vAlign w:val="center"/>
          </w:tcPr>
          <w:p>
            <w:pPr>
              <w:pStyle w:val="17"/>
              <w:bidi w:val="0"/>
            </w:pPr>
            <w:r>
              <w:t>樊曙光</w:t>
            </w:r>
          </w:p>
        </w:tc>
        <w:tc>
          <w:tcPr>
            <w:tcW w:w="718" w:type="pct"/>
            <w:gridSpan w:val="2"/>
            <w:vAlign w:val="center"/>
          </w:tcPr>
          <w:p>
            <w:pPr>
              <w:pStyle w:val="17"/>
              <w:bidi w:val="0"/>
            </w:pPr>
            <w:r>
              <w:t>签名</w:t>
            </w:r>
          </w:p>
        </w:tc>
        <w:tc>
          <w:tcPr>
            <w:tcW w:w="2097" w:type="pct"/>
            <w:gridSpan w:val="2"/>
            <w:vAlign w:val="center"/>
          </w:tcPr>
          <w:p>
            <w:pPr>
              <w:pStyle w:val="17"/>
              <w:bidi w:val="0"/>
            </w:pPr>
            <w:r>
              <w:drawing>
                <wp:inline distT="0" distB="0" distL="0" distR="0">
                  <wp:extent cx="523875" cy="35941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34"/>
                          <a:stretch>
                            <a:fillRect/>
                          </a:stretch>
                        </pic:blipFill>
                        <pic:spPr>
                          <a:xfrm>
                            <a:off x="0" y="0"/>
                            <a:ext cx="524255" cy="359664"/>
                          </a:xfrm>
                          <a:prstGeom prst="rect">
                            <a:avLst/>
                          </a:prstGeom>
                        </pic:spPr>
                      </pic:pic>
                    </a:graphicData>
                  </a:graphic>
                </wp:inline>
              </w:drawing>
            </w:r>
          </w:p>
        </w:tc>
      </w:tr>
    </w:tbl>
    <w:p>
      <w:pPr>
        <w:rPr>
          <w:rFonts w:ascii="Arial"/>
          <w:sz w:val="21"/>
        </w:rPr>
      </w:pPr>
    </w:p>
    <w:p>
      <w:pPr>
        <w:bidi w:val="0"/>
        <w:sectPr>
          <w:headerReference r:id="rId6" w:type="default"/>
          <w:pgSz w:w="11906" w:h="16840"/>
          <w:pgMar w:top="1304" w:right="1080" w:bottom="1304" w:left="1080" w:header="0" w:footer="0" w:gutter="0"/>
          <w:cols w:space="720" w:num="1"/>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5626" w:lineRule="exact"/>
        <w:ind w:firstLine="191"/>
        <w:textAlignment w:val="center"/>
      </w:pPr>
      <w:r>
        <w:drawing>
          <wp:inline distT="0" distB="0" distL="0" distR="0">
            <wp:extent cx="5039360" cy="35718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35"/>
                    <a:stretch>
                      <a:fillRect/>
                    </a:stretch>
                  </pic:blipFill>
                  <pic:spPr>
                    <a:xfrm>
                      <a:off x="0" y="0"/>
                      <a:ext cx="5039867" cy="3572255"/>
                    </a:xfrm>
                    <a:prstGeom prst="rect">
                      <a:avLst/>
                    </a:prstGeom>
                  </pic:spPr>
                </pic:pic>
              </a:graphicData>
            </a:graphic>
          </wp:inline>
        </w:drawing>
      </w:r>
    </w:p>
    <w:p/>
    <w:p>
      <w:pPr>
        <w:sectPr>
          <w:pgSz w:w="11906" w:h="16840"/>
          <w:pgMar w:top="1440" w:right="1800" w:bottom="1440" w:left="1800" w:header="0" w:footer="0" w:gutter="0"/>
          <w:cols w:space="720" w:num="1"/>
        </w:sectPr>
      </w:pPr>
    </w:p>
    <w:p>
      <w:pPr>
        <w:jc w:val="center"/>
        <w:rPr>
          <w:rFonts w:hint="eastAsia" w:eastAsia="宋体"/>
          <w:b/>
          <w:bCs/>
          <w:sz w:val="52"/>
          <w:szCs w:val="52"/>
          <w:lang w:val="en-US" w:eastAsia="zh-CN"/>
        </w:rPr>
      </w:pPr>
      <w:r>
        <w:rPr>
          <w:rFonts w:hint="eastAsia" w:eastAsia="宋体"/>
          <w:b/>
          <w:bCs/>
          <w:sz w:val="52"/>
          <w:szCs w:val="52"/>
          <w:lang w:val="en-US" w:eastAsia="zh-CN"/>
        </w:rPr>
        <w:t>目录</w:t>
      </w:r>
    </w:p>
    <w:p>
      <w:pPr>
        <w:jc w:val="center"/>
        <w:rPr>
          <w:rFonts w:hint="eastAsia" w:eastAsia="宋体"/>
          <w:b/>
          <w:bCs/>
          <w:sz w:val="52"/>
          <w:szCs w:val="52"/>
          <w:lang w:val="en-US" w:eastAsia="zh-CN"/>
        </w:rPr>
      </w:pPr>
    </w:p>
    <w:p>
      <w:pPr>
        <w:pStyle w:val="11"/>
        <w:tabs>
          <w:tab w:val="right" w:leader="dot" w:pos="8306"/>
        </w:tabs>
      </w:pPr>
      <w:r>
        <w:rPr>
          <w:rFonts w:hint="eastAsia" w:eastAsia="宋体"/>
          <w:b/>
          <w:bCs/>
          <w:sz w:val="52"/>
          <w:szCs w:val="52"/>
          <w:lang w:val="en-US" w:eastAsia="zh-CN"/>
        </w:rPr>
        <w:fldChar w:fldCharType="begin"/>
      </w:r>
      <w:r>
        <w:rPr>
          <w:rFonts w:hint="eastAsia" w:eastAsia="宋体"/>
          <w:b/>
          <w:bCs/>
          <w:sz w:val="52"/>
          <w:szCs w:val="52"/>
          <w:lang w:val="en-US" w:eastAsia="zh-CN"/>
        </w:rPr>
        <w:instrText xml:space="preserve">TOC \o "1-3" \h \u </w:instrText>
      </w:r>
      <w:r>
        <w:rPr>
          <w:rFonts w:hint="eastAsia" w:eastAsia="宋体"/>
          <w:b/>
          <w:bCs/>
          <w:sz w:val="52"/>
          <w:szCs w:val="52"/>
          <w:lang w:val="en-US" w:eastAsia="zh-CN"/>
        </w:rPr>
        <w:fldChar w:fldCharType="separate"/>
      </w:r>
      <w:r>
        <w:rPr>
          <w:rFonts w:hint="eastAsia" w:eastAsia="宋体"/>
          <w:bCs/>
          <w:szCs w:val="52"/>
          <w:lang w:val="en-US" w:eastAsia="zh-CN"/>
        </w:rPr>
        <w:fldChar w:fldCharType="begin"/>
      </w:r>
      <w:r>
        <w:rPr>
          <w:rFonts w:hint="eastAsia" w:eastAsia="宋体"/>
          <w:bCs/>
          <w:szCs w:val="52"/>
          <w:lang w:val="en-US" w:eastAsia="zh-CN"/>
        </w:rPr>
        <w:instrText xml:space="preserve"> HYPERLINK \l _Toc15273 </w:instrText>
      </w:r>
      <w:r>
        <w:rPr>
          <w:rFonts w:hint="eastAsia" w:eastAsia="宋体"/>
          <w:bCs/>
          <w:szCs w:val="52"/>
          <w:lang w:val="en-US" w:eastAsia="zh-CN"/>
        </w:rPr>
        <w:fldChar w:fldCharType="separate"/>
      </w:r>
      <w:r>
        <w:rPr>
          <w:bCs/>
        </w:rPr>
        <w:t>第一章  概述</w:t>
      </w:r>
      <w:r>
        <w:tab/>
      </w:r>
      <w:r>
        <w:fldChar w:fldCharType="begin"/>
      </w:r>
      <w:r>
        <w:instrText xml:space="preserve"> PAGEREF _Toc15273 \h </w:instrText>
      </w:r>
      <w:r>
        <w:fldChar w:fldCharType="separate"/>
      </w:r>
      <w:r>
        <w:t>1</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_Toc24046 </w:instrText>
      </w:r>
      <w:r>
        <w:rPr>
          <w:rFonts w:hint="eastAsia" w:eastAsia="宋体"/>
          <w:bCs/>
          <w:szCs w:val="52"/>
          <w:lang w:val="en-US" w:eastAsia="zh-CN"/>
        </w:rPr>
        <w:fldChar w:fldCharType="separate"/>
      </w:r>
      <w:r>
        <w:t>1.1</w:t>
      </w:r>
      <w:r>
        <w:rPr>
          <w:rFonts w:hint="eastAsia"/>
          <w:lang w:val="en-US" w:eastAsia="zh-CN"/>
        </w:rPr>
        <w:t xml:space="preserve">  </w:t>
      </w:r>
      <w:r>
        <w:t>核查目的</w:t>
      </w:r>
      <w:r>
        <w:tab/>
      </w:r>
      <w:r>
        <w:fldChar w:fldCharType="begin"/>
      </w:r>
      <w:r>
        <w:instrText xml:space="preserve"> PAGEREF _Toc24046 \h </w:instrText>
      </w:r>
      <w:r>
        <w:fldChar w:fldCharType="separate"/>
      </w:r>
      <w:r>
        <w:t>1</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_Toc7857 </w:instrText>
      </w:r>
      <w:r>
        <w:rPr>
          <w:rFonts w:hint="eastAsia" w:eastAsia="宋体"/>
          <w:bCs/>
          <w:szCs w:val="52"/>
          <w:lang w:val="en-US" w:eastAsia="zh-CN"/>
        </w:rPr>
        <w:fldChar w:fldCharType="separate"/>
      </w:r>
      <w:r>
        <w:t>1.2</w:t>
      </w:r>
      <w:r>
        <w:rPr>
          <w:rFonts w:hint="eastAsia"/>
          <w:lang w:val="en-US" w:eastAsia="zh-CN"/>
        </w:rPr>
        <w:t xml:space="preserve">  </w:t>
      </w:r>
      <w:r>
        <w:t>核查范围</w:t>
      </w:r>
      <w:r>
        <w:tab/>
      </w:r>
      <w:r>
        <w:fldChar w:fldCharType="begin"/>
      </w:r>
      <w:r>
        <w:instrText xml:space="preserve"> PAGEREF _Toc7857 \h </w:instrText>
      </w:r>
      <w:r>
        <w:fldChar w:fldCharType="separate"/>
      </w:r>
      <w:r>
        <w:t>1</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_Toc24360 </w:instrText>
      </w:r>
      <w:r>
        <w:rPr>
          <w:rFonts w:hint="eastAsia" w:eastAsia="宋体"/>
          <w:bCs/>
          <w:szCs w:val="52"/>
          <w:lang w:val="en-US" w:eastAsia="zh-CN"/>
        </w:rPr>
        <w:fldChar w:fldCharType="separate"/>
      </w:r>
      <w:r>
        <w:t>1.3</w:t>
      </w:r>
      <w:r>
        <w:rPr>
          <w:rFonts w:hint="eastAsia"/>
          <w:lang w:val="en-US" w:eastAsia="zh-CN"/>
        </w:rPr>
        <w:t xml:space="preserve">  </w:t>
      </w:r>
      <w:r>
        <w:t>核查准则</w:t>
      </w:r>
      <w:r>
        <w:tab/>
      </w:r>
      <w:r>
        <w:fldChar w:fldCharType="begin"/>
      </w:r>
      <w:r>
        <w:instrText xml:space="preserve"> PAGEREF _Toc24360 \h </w:instrText>
      </w:r>
      <w:r>
        <w:fldChar w:fldCharType="separate"/>
      </w:r>
      <w:r>
        <w:t>2</w:t>
      </w:r>
      <w:r>
        <w:fldChar w:fldCharType="end"/>
      </w:r>
      <w:r>
        <w:rPr>
          <w:rFonts w:hint="eastAsia" w:eastAsia="宋体"/>
          <w:bCs/>
          <w:szCs w:val="52"/>
          <w:lang w:val="en-US" w:eastAsia="zh-CN"/>
        </w:rPr>
        <w:fldChar w:fldCharType="end"/>
      </w:r>
    </w:p>
    <w:p>
      <w:pPr>
        <w:pStyle w:val="11"/>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_Toc26928 </w:instrText>
      </w:r>
      <w:r>
        <w:rPr>
          <w:rFonts w:hint="eastAsia" w:eastAsia="宋体"/>
          <w:bCs/>
          <w:szCs w:val="52"/>
          <w:lang w:val="en-US" w:eastAsia="zh-CN"/>
        </w:rPr>
        <w:fldChar w:fldCharType="separate"/>
      </w:r>
      <w:r>
        <w:t>第二章  核查过程和方法</w:t>
      </w:r>
      <w:r>
        <w:tab/>
      </w:r>
      <w:r>
        <w:fldChar w:fldCharType="begin"/>
      </w:r>
      <w:r>
        <w:instrText xml:space="preserve"> PAGEREF _Toc26928 \h </w:instrText>
      </w:r>
      <w:r>
        <w:fldChar w:fldCharType="separate"/>
      </w:r>
      <w:r>
        <w:t>3</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_Toc11713 </w:instrText>
      </w:r>
      <w:r>
        <w:rPr>
          <w:rFonts w:hint="eastAsia" w:eastAsia="宋体"/>
          <w:bCs/>
          <w:szCs w:val="52"/>
          <w:lang w:val="en-US" w:eastAsia="zh-CN"/>
        </w:rPr>
        <w:fldChar w:fldCharType="separate"/>
      </w:r>
      <w:r>
        <w:t>2.1</w:t>
      </w:r>
      <w:r>
        <w:rPr>
          <w:rFonts w:hint="eastAsia"/>
          <w:lang w:val="en-US" w:eastAsia="zh-CN"/>
        </w:rPr>
        <w:t xml:space="preserve">  </w:t>
      </w:r>
      <w:r>
        <w:t>文件评审</w:t>
      </w:r>
      <w:r>
        <w:tab/>
      </w:r>
      <w:r>
        <w:fldChar w:fldCharType="begin"/>
      </w:r>
      <w:r>
        <w:instrText xml:space="preserve"> PAGEREF _Toc11713 \h </w:instrText>
      </w:r>
      <w:r>
        <w:fldChar w:fldCharType="separate"/>
      </w:r>
      <w:r>
        <w:t>3</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_Toc10560 </w:instrText>
      </w:r>
      <w:r>
        <w:rPr>
          <w:rFonts w:hint="eastAsia" w:eastAsia="宋体"/>
          <w:bCs/>
          <w:szCs w:val="52"/>
          <w:lang w:val="en-US" w:eastAsia="zh-CN"/>
        </w:rPr>
        <w:fldChar w:fldCharType="separate"/>
      </w:r>
      <w:r>
        <w:t>2.2</w:t>
      </w:r>
      <w:r>
        <w:rPr>
          <w:rFonts w:hint="eastAsia"/>
          <w:lang w:val="en-US" w:eastAsia="zh-CN"/>
        </w:rPr>
        <w:t xml:space="preserve">  </w:t>
      </w:r>
      <w:r>
        <w:t>核查组安排</w:t>
      </w:r>
      <w:r>
        <w:tab/>
      </w:r>
      <w:r>
        <w:fldChar w:fldCharType="begin"/>
      </w:r>
      <w:r>
        <w:instrText xml:space="preserve"> PAGEREF _Toc10560 \h </w:instrText>
      </w:r>
      <w:r>
        <w:fldChar w:fldCharType="separate"/>
      </w:r>
      <w:r>
        <w:t>3</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_Toc18338 </w:instrText>
      </w:r>
      <w:r>
        <w:rPr>
          <w:rFonts w:hint="eastAsia" w:eastAsia="宋体"/>
          <w:bCs/>
          <w:szCs w:val="52"/>
          <w:lang w:val="en-US" w:eastAsia="zh-CN"/>
        </w:rPr>
        <w:fldChar w:fldCharType="separate"/>
      </w:r>
      <w:r>
        <w:t>2.3</w:t>
      </w:r>
      <w:r>
        <w:rPr>
          <w:rFonts w:hint="eastAsia"/>
          <w:lang w:val="en-US" w:eastAsia="zh-CN"/>
        </w:rPr>
        <w:t xml:space="preserve">  </w:t>
      </w:r>
      <w:r>
        <w:t>现场核查</w:t>
      </w:r>
      <w:r>
        <w:tab/>
      </w:r>
      <w:r>
        <w:fldChar w:fldCharType="begin"/>
      </w:r>
      <w:r>
        <w:instrText xml:space="preserve"> PAGEREF _Toc18338 \h </w:instrText>
      </w:r>
      <w:r>
        <w:fldChar w:fldCharType="separate"/>
      </w:r>
      <w:r>
        <w:t>4</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_Toc13455 </w:instrText>
      </w:r>
      <w:r>
        <w:rPr>
          <w:rFonts w:hint="eastAsia" w:eastAsia="宋体"/>
          <w:bCs/>
          <w:szCs w:val="52"/>
          <w:lang w:val="en-US" w:eastAsia="zh-CN"/>
        </w:rPr>
        <w:fldChar w:fldCharType="separate"/>
      </w:r>
      <w:r>
        <w:t>2.4</w:t>
      </w:r>
      <w:r>
        <w:rPr>
          <w:rFonts w:hint="eastAsia"/>
          <w:lang w:val="en-US" w:eastAsia="zh-CN"/>
        </w:rPr>
        <w:t xml:space="preserve">  </w:t>
      </w:r>
      <w:r>
        <w:t>核查报告编写及内部技术复核</w:t>
      </w:r>
      <w:r>
        <w:tab/>
      </w:r>
      <w:r>
        <w:fldChar w:fldCharType="begin"/>
      </w:r>
      <w:r>
        <w:instrText xml:space="preserve"> PAGEREF _Toc13455 \h </w:instrText>
      </w:r>
      <w:r>
        <w:fldChar w:fldCharType="separate"/>
      </w:r>
      <w:r>
        <w:t>5</w:t>
      </w:r>
      <w:r>
        <w:fldChar w:fldCharType="end"/>
      </w:r>
      <w:r>
        <w:rPr>
          <w:rFonts w:hint="eastAsia" w:eastAsia="宋体"/>
          <w:bCs/>
          <w:szCs w:val="52"/>
          <w:lang w:val="en-US" w:eastAsia="zh-CN"/>
        </w:rPr>
        <w:fldChar w:fldCharType="end"/>
      </w:r>
    </w:p>
    <w:p>
      <w:pPr>
        <w:pStyle w:val="11"/>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_Toc25982 </w:instrText>
      </w:r>
      <w:r>
        <w:rPr>
          <w:rFonts w:hint="eastAsia" w:eastAsia="宋体"/>
          <w:bCs/>
          <w:szCs w:val="52"/>
          <w:lang w:val="en-US" w:eastAsia="zh-CN"/>
        </w:rPr>
        <w:fldChar w:fldCharType="separate"/>
      </w:r>
      <w:r>
        <w:t>第三章核查发现</w:t>
      </w:r>
      <w:r>
        <w:tab/>
      </w:r>
      <w:r>
        <w:fldChar w:fldCharType="begin"/>
      </w:r>
      <w:r>
        <w:instrText xml:space="preserve"> PAGEREF _Toc25982 \h </w:instrText>
      </w:r>
      <w:r>
        <w:fldChar w:fldCharType="separate"/>
      </w:r>
      <w:r>
        <w:t>7</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_Toc15293 </w:instrText>
      </w:r>
      <w:r>
        <w:rPr>
          <w:rFonts w:hint="eastAsia" w:eastAsia="宋体"/>
          <w:bCs/>
          <w:szCs w:val="52"/>
          <w:lang w:val="en-US" w:eastAsia="zh-CN"/>
        </w:rPr>
        <w:fldChar w:fldCharType="separate"/>
      </w:r>
      <w:r>
        <w:t>3.1</w:t>
      </w:r>
      <w:r>
        <w:rPr>
          <w:rFonts w:hint="eastAsia"/>
          <w:lang w:val="en-US" w:eastAsia="zh-CN"/>
        </w:rPr>
        <w:t xml:space="preserve">  </w:t>
      </w:r>
      <w:r>
        <w:t>重点排放单位基本情况的核查</w:t>
      </w:r>
      <w:r>
        <w:tab/>
      </w:r>
      <w:r>
        <w:fldChar w:fldCharType="begin"/>
      </w:r>
      <w:r>
        <w:instrText xml:space="preserve"> PAGEREF _Toc15293 \h </w:instrText>
      </w:r>
      <w:r>
        <w:fldChar w:fldCharType="separate"/>
      </w:r>
      <w:r>
        <w:t>7</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_Toc19784 </w:instrText>
      </w:r>
      <w:r>
        <w:rPr>
          <w:rFonts w:hint="eastAsia" w:eastAsia="宋体"/>
          <w:bCs/>
          <w:szCs w:val="52"/>
          <w:lang w:val="en-US" w:eastAsia="zh-CN"/>
        </w:rPr>
        <w:fldChar w:fldCharType="separate"/>
      </w:r>
      <w:r>
        <w:t>3.1.1基本信息</w:t>
      </w:r>
      <w:r>
        <w:tab/>
      </w:r>
      <w:r>
        <w:fldChar w:fldCharType="begin"/>
      </w:r>
      <w:r>
        <w:instrText xml:space="preserve"> PAGEREF _Toc19784 \h </w:instrText>
      </w:r>
      <w:r>
        <w:fldChar w:fldCharType="separate"/>
      </w:r>
      <w:r>
        <w:t>7</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_Toc11646 </w:instrText>
      </w:r>
      <w:r>
        <w:rPr>
          <w:rFonts w:hint="eastAsia" w:eastAsia="宋体"/>
          <w:bCs/>
          <w:szCs w:val="52"/>
          <w:lang w:val="en-US" w:eastAsia="zh-CN"/>
        </w:rPr>
        <w:fldChar w:fldCharType="separate"/>
      </w:r>
      <w:r>
        <w:rPr>
          <w:highlight w:val="none"/>
        </w:rPr>
        <w:t>3.1.2主要生产运营系统</w:t>
      </w:r>
      <w:r>
        <w:tab/>
      </w:r>
      <w:r>
        <w:fldChar w:fldCharType="begin"/>
      </w:r>
      <w:r>
        <w:instrText xml:space="preserve"> PAGEREF _Toc11646 \h </w:instrText>
      </w:r>
      <w:r>
        <w:fldChar w:fldCharType="separate"/>
      </w:r>
      <w:r>
        <w:t>9</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_Toc6476 </w:instrText>
      </w:r>
      <w:r>
        <w:rPr>
          <w:rFonts w:hint="eastAsia" w:eastAsia="宋体"/>
          <w:bCs/>
          <w:szCs w:val="52"/>
          <w:lang w:val="en-US" w:eastAsia="zh-CN"/>
        </w:rPr>
        <w:fldChar w:fldCharType="separate"/>
      </w:r>
      <w:r>
        <w:t>3.1.3主营产品生产情况</w:t>
      </w:r>
      <w:r>
        <w:tab/>
      </w:r>
      <w:r>
        <w:fldChar w:fldCharType="begin"/>
      </w:r>
      <w:r>
        <w:instrText xml:space="preserve"> PAGEREF _Toc6476 \h </w:instrText>
      </w:r>
      <w:r>
        <w:fldChar w:fldCharType="separate"/>
      </w:r>
      <w:r>
        <w:t>13</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_Toc4039 </w:instrText>
      </w:r>
      <w:r>
        <w:rPr>
          <w:rFonts w:hint="eastAsia" w:eastAsia="宋体"/>
          <w:bCs/>
          <w:szCs w:val="52"/>
          <w:lang w:val="en-US" w:eastAsia="zh-CN"/>
        </w:rPr>
        <w:fldChar w:fldCharType="separate"/>
      </w:r>
      <w:r>
        <w:t>3.2</w:t>
      </w:r>
      <w:r>
        <w:rPr>
          <w:rFonts w:hint="eastAsia"/>
          <w:lang w:val="en-US" w:eastAsia="zh-CN"/>
        </w:rPr>
        <w:t xml:space="preserve">  </w:t>
      </w:r>
      <w:r>
        <w:t>核算边界的核查</w:t>
      </w:r>
      <w:r>
        <w:tab/>
      </w:r>
      <w:r>
        <w:fldChar w:fldCharType="begin"/>
      </w:r>
      <w:r>
        <w:instrText xml:space="preserve"> PAGEREF _Toc4039 \h </w:instrText>
      </w:r>
      <w:r>
        <w:fldChar w:fldCharType="separate"/>
      </w:r>
      <w:r>
        <w:t>16</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_Toc8467 </w:instrText>
      </w:r>
      <w:r>
        <w:rPr>
          <w:rFonts w:hint="eastAsia" w:eastAsia="宋体"/>
          <w:bCs/>
          <w:szCs w:val="52"/>
          <w:lang w:val="en-US" w:eastAsia="zh-CN"/>
        </w:rPr>
        <w:fldChar w:fldCharType="separate"/>
      </w:r>
      <w:r>
        <w:t>3.2.1企业边界</w:t>
      </w:r>
      <w:r>
        <w:tab/>
      </w:r>
      <w:r>
        <w:fldChar w:fldCharType="begin"/>
      </w:r>
      <w:r>
        <w:instrText xml:space="preserve"> PAGEREF _Toc8467 \h </w:instrText>
      </w:r>
      <w:r>
        <w:fldChar w:fldCharType="separate"/>
      </w:r>
      <w:r>
        <w:t>16</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_Toc26531 </w:instrText>
      </w:r>
      <w:r>
        <w:rPr>
          <w:rFonts w:hint="eastAsia" w:eastAsia="宋体"/>
          <w:bCs/>
          <w:szCs w:val="52"/>
          <w:lang w:val="en-US" w:eastAsia="zh-CN"/>
        </w:rPr>
        <w:fldChar w:fldCharType="separate"/>
      </w:r>
      <w:r>
        <w:t>3.2.2排放源和能源种类</w:t>
      </w:r>
      <w:r>
        <w:tab/>
      </w:r>
      <w:r>
        <w:fldChar w:fldCharType="begin"/>
      </w:r>
      <w:r>
        <w:instrText xml:space="preserve"> PAGEREF _Toc26531 \h </w:instrText>
      </w:r>
      <w:r>
        <w:fldChar w:fldCharType="separate"/>
      </w:r>
      <w:r>
        <w:t>16</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_Toc23173 </w:instrText>
      </w:r>
      <w:r>
        <w:rPr>
          <w:rFonts w:hint="eastAsia" w:eastAsia="宋体"/>
          <w:bCs/>
          <w:szCs w:val="52"/>
          <w:lang w:val="en-US" w:eastAsia="zh-CN"/>
        </w:rPr>
        <w:fldChar w:fldCharType="separate"/>
      </w:r>
      <w:r>
        <w:t>3.3</w:t>
      </w:r>
      <w:r>
        <w:rPr>
          <w:rFonts w:hint="eastAsia"/>
          <w:lang w:val="en-US" w:eastAsia="zh-CN"/>
        </w:rPr>
        <w:t xml:space="preserve">  </w:t>
      </w:r>
      <w:r>
        <w:t>核算方法的核查</w:t>
      </w:r>
      <w:r>
        <w:tab/>
      </w:r>
      <w:r>
        <w:fldChar w:fldCharType="begin"/>
      </w:r>
      <w:r>
        <w:instrText xml:space="preserve"> PAGEREF _Toc23173 \h </w:instrText>
      </w:r>
      <w:r>
        <w:fldChar w:fldCharType="separate"/>
      </w:r>
      <w:r>
        <w:t>17</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_Toc19546 </w:instrText>
      </w:r>
      <w:r>
        <w:rPr>
          <w:rFonts w:hint="eastAsia" w:eastAsia="宋体"/>
          <w:bCs/>
          <w:szCs w:val="52"/>
          <w:lang w:val="en-US" w:eastAsia="zh-CN"/>
        </w:rPr>
        <w:fldChar w:fldCharType="separate"/>
      </w:r>
      <w:r>
        <w:t>3.3.1化石燃料燃烧排放</w:t>
      </w:r>
      <w:r>
        <w:tab/>
      </w:r>
      <w:r>
        <w:fldChar w:fldCharType="begin"/>
      </w:r>
      <w:r>
        <w:instrText xml:space="preserve"> PAGEREF _Toc19546 \h </w:instrText>
      </w:r>
      <w:r>
        <w:fldChar w:fldCharType="separate"/>
      </w:r>
      <w:r>
        <w:t>17</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_Toc31963 </w:instrText>
      </w:r>
      <w:r>
        <w:rPr>
          <w:rFonts w:hint="eastAsia" w:eastAsia="宋体"/>
          <w:bCs/>
          <w:szCs w:val="52"/>
          <w:lang w:val="en-US" w:eastAsia="zh-CN"/>
        </w:rPr>
        <w:fldChar w:fldCharType="separate"/>
      </w:r>
      <w:r>
        <w:rPr>
          <w:highlight w:val="none"/>
        </w:rPr>
        <w:t>3.3.2工业生产过程排放</w:t>
      </w:r>
      <w:r>
        <w:tab/>
      </w:r>
      <w:r>
        <w:fldChar w:fldCharType="begin"/>
      </w:r>
      <w:r>
        <w:instrText xml:space="preserve"> PAGEREF _Toc31963 \h </w:instrText>
      </w:r>
      <w:r>
        <w:fldChar w:fldCharType="separate"/>
      </w:r>
      <w:r>
        <w:t>18</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_Toc26889 </w:instrText>
      </w:r>
      <w:r>
        <w:rPr>
          <w:rFonts w:hint="eastAsia" w:eastAsia="宋体"/>
          <w:bCs/>
          <w:szCs w:val="52"/>
          <w:lang w:val="en-US" w:eastAsia="zh-CN"/>
        </w:rPr>
        <w:fldChar w:fldCharType="separate"/>
      </w:r>
      <w:r>
        <w:t>3.3.3净购入电力、热力产生的排放</w:t>
      </w:r>
      <w:r>
        <w:tab/>
      </w:r>
      <w:r>
        <w:fldChar w:fldCharType="begin"/>
      </w:r>
      <w:r>
        <w:instrText xml:space="preserve"> PAGEREF _Toc26889 \h </w:instrText>
      </w:r>
      <w:r>
        <w:fldChar w:fldCharType="separate"/>
      </w:r>
      <w:r>
        <w:t>19</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_Toc15455 </w:instrText>
      </w:r>
      <w:r>
        <w:rPr>
          <w:rFonts w:hint="eastAsia" w:eastAsia="宋体"/>
          <w:bCs/>
          <w:szCs w:val="52"/>
          <w:lang w:val="en-US" w:eastAsia="zh-CN"/>
        </w:rPr>
        <w:fldChar w:fldCharType="separate"/>
      </w:r>
      <w:r>
        <w:t>3.4</w:t>
      </w:r>
      <w:r>
        <w:rPr>
          <w:rFonts w:hint="eastAsia"/>
          <w:lang w:val="en-US" w:eastAsia="zh-CN"/>
        </w:rPr>
        <w:t xml:space="preserve">  </w:t>
      </w:r>
      <w:r>
        <w:t>核算数据的核查</w:t>
      </w:r>
      <w:r>
        <w:tab/>
      </w:r>
      <w:r>
        <w:fldChar w:fldCharType="begin"/>
      </w:r>
      <w:r>
        <w:instrText xml:space="preserve"> PAGEREF _Toc15455 \h </w:instrText>
      </w:r>
      <w:r>
        <w:fldChar w:fldCharType="separate"/>
      </w:r>
      <w:r>
        <w:t>20</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_Toc2025 </w:instrText>
      </w:r>
      <w:r>
        <w:rPr>
          <w:rFonts w:hint="eastAsia" w:eastAsia="宋体"/>
          <w:bCs/>
          <w:szCs w:val="52"/>
          <w:lang w:val="en-US" w:eastAsia="zh-CN"/>
        </w:rPr>
        <w:fldChar w:fldCharType="separate"/>
      </w:r>
      <w:r>
        <w:t>3.4.1活动数据及来源的核查</w:t>
      </w:r>
      <w:r>
        <w:tab/>
      </w:r>
      <w:r>
        <w:fldChar w:fldCharType="begin"/>
      </w:r>
      <w:r>
        <w:instrText xml:space="preserve"> PAGEREF _Toc2025 \h </w:instrText>
      </w:r>
      <w:r>
        <w:fldChar w:fldCharType="separate"/>
      </w:r>
      <w:r>
        <w:t>20</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_Toc27929 </w:instrText>
      </w:r>
      <w:r>
        <w:rPr>
          <w:rFonts w:hint="eastAsia" w:eastAsia="宋体"/>
          <w:bCs/>
          <w:szCs w:val="52"/>
          <w:lang w:val="en-US" w:eastAsia="zh-CN"/>
        </w:rPr>
        <w:fldChar w:fldCharType="separate"/>
      </w:r>
      <w:r>
        <w:t>3.4.2排放因子和计算系数数据及来源的核查</w:t>
      </w:r>
      <w:r>
        <w:tab/>
      </w:r>
      <w:r>
        <w:fldChar w:fldCharType="begin"/>
      </w:r>
      <w:r>
        <w:instrText xml:space="preserve"> PAGEREF _Toc27929 \h </w:instrText>
      </w:r>
      <w:r>
        <w:fldChar w:fldCharType="separate"/>
      </w:r>
      <w:r>
        <w:t>22</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_Toc23759 </w:instrText>
      </w:r>
      <w:r>
        <w:rPr>
          <w:rFonts w:hint="eastAsia" w:eastAsia="宋体"/>
          <w:bCs/>
          <w:szCs w:val="52"/>
          <w:lang w:val="en-US" w:eastAsia="zh-CN"/>
        </w:rPr>
        <w:fldChar w:fldCharType="separate"/>
      </w:r>
      <w:r>
        <w:t>3.4.3法人边界排放量的核查</w:t>
      </w:r>
      <w:r>
        <w:tab/>
      </w:r>
      <w:r>
        <w:fldChar w:fldCharType="begin"/>
      </w:r>
      <w:r>
        <w:instrText xml:space="preserve"> PAGEREF _Toc23759 \h </w:instrText>
      </w:r>
      <w:r>
        <w:fldChar w:fldCharType="separate"/>
      </w:r>
      <w:r>
        <w:t>22</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_Toc3020 </w:instrText>
      </w:r>
      <w:r>
        <w:rPr>
          <w:rFonts w:hint="eastAsia" w:eastAsia="宋体"/>
          <w:bCs/>
          <w:szCs w:val="52"/>
          <w:lang w:val="en-US" w:eastAsia="zh-CN"/>
        </w:rPr>
        <w:fldChar w:fldCharType="separate"/>
      </w:r>
      <w:r>
        <w:t>3.4.4配额分配相关补充数据的核查</w:t>
      </w:r>
      <w:r>
        <w:tab/>
      </w:r>
      <w:r>
        <w:fldChar w:fldCharType="begin"/>
      </w:r>
      <w:r>
        <w:instrText xml:space="preserve"> PAGEREF _Toc3020 \h </w:instrText>
      </w:r>
      <w:r>
        <w:fldChar w:fldCharType="separate"/>
      </w:r>
      <w:r>
        <w:t>23</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_Toc12461 </w:instrText>
      </w:r>
      <w:r>
        <w:rPr>
          <w:rFonts w:hint="eastAsia" w:eastAsia="宋体"/>
          <w:bCs/>
          <w:szCs w:val="52"/>
          <w:lang w:val="en-US" w:eastAsia="zh-CN"/>
        </w:rPr>
        <w:fldChar w:fldCharType="separate"/>
      </w:r>
      <w:r>
        <w:t>3.5</w:t>
      </w:r>
      <w:r>
        <w:rPr>
          <w:rFonts w:hint="eastAsia"/>
          <w:lang w:val="en-US" w:eastAsia="zh-CN"/>
        </w:rPr>
        <w:t xml:space="preserve">  </w:t>
      </w:r>
      <w:r>
        <w:t>质量保证和文件存档的核查</w:t>
      </w:r>
      <w:r>
        <w:tab/>
      </w:r>
      <w:r>
        <w:fldChar w:fldCharType="begin"/>
      </w:r>
      <w:r>
        <w:instrText xml:space="preserve"> PAGEREF _Toc12461 \h </w:instrText>
      </w:r>
      <w:r>
        <w:fldChar w:fldCharType="separate"/>
      </w:r>
      <w:r>
        <w:t>23</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_Toc26609 </w:instrText>
      </w:r>
      <w:r>
        <w:rPr>
          <w:rFonts w:hint="eastAsia" w:eastAsia="宋体"/>
          <w:bCs/>
          <w:szCs w:val="52"/>
          <w:lang w:val="en-US" w:eastAsia="zh-CN"/>
        </w:rPr>
        <w:fldChar w:fldCharType="separate"/>
      </w:r>
      <w:r>
        <w:t>3.6</w:t>
      </w:r>
      <w:r>
        <w:rPr>
          <w:rFonts w:hint="eastAsia"/>
          <w:lang w:val="en-US" w:eastAsia="zh-CN"/>
        </w:rPr>
        <w:t xml:space="preserve">  </w:t>
      </w:r>
      <w:r>
        <w:t>其他核查发现</w:t>
      </w:r>
      <w:r>
        <w:tab/>
      </w:r>
      <w:r>
        <w:fldChar w:fldCharType="begin"/>
      </w:r>
      <w:r>
        <w:instrText xml:space="preserve"> PAGEREF _Toc26609 \h </w:instrText>
      </w:r>
      <w:r>
        <w:fldChar w:fldCharType="separate"/>
      </w:r>
      <w:r>
        <w:t>24</w:t>
      </w:r>
      <w:r>
        <w:fldChar w:fldCharType="end"/>
      </w:r>
      <w:r>
        <w:rPr>
          <w:rFonts w:hint="eastAsia" w:eastAsia="宋体"/>
          <w:bCs/>
          <w:szCs w:val="52"/>
          <w:lang w:val="en-US" w:eastAsia="zh-CN"/>
        </w:rPr>
        <w:fldChar w:fldCharType="end"/>
      </w:r>
    </w:p>
    <w:p>
      <w:pPr>
        <w:pStyle w:val="11"/>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_Toc24093 </w:instrText>
      </w:r>
      <w:r>
        <w:rPr>
          <w:rFonts w:hint="eastAsia" w:eastAsia="宋体"/>
          <w:bCs/>
          <w:szCs w:val="52"/>
          <w:lang w:val="en-US" w:eastAsia="zh-CN"/>
        </w:rPr>
        <w:fldChar w:fldCharType="separate"/>
      </w:r>
      <w:r>
        <w:t>第四章核查结论</w:t>
      </w:r>
      <w:r>
        <w:tab/>
      </w:r>
      <w:r>
        <w:fldChar w:fldCharType="begin"/>
      </w:r>
      <w:r>
        <w:instrText xml:space="preserve"> PAGEREF _Toc24093 \h </w:instrText>
      </w:r>
      <w:r>
        <w:fldChar w:fldCharType="separate"/>
      </w:r>
      <w:r>
        <w:t>25</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_Toc16030 </w:instrText>
      </w:r>
      <w:r>
        <w:rPr>
          <w:rFonts w:hint="eastAsia" w:eastAsia="宋体"/>
          <w:bCs/>
          <w:szCs w:val="52"/>
          <w:lang w:val="en-US" w:eastAsia="zh-CN"/>
        </w:rPr>
        <w:fldChar w:fldCharType="separate"/>
      </w:r>
      <w:r>
        <w:t>4.1</w:t>
      </w:r>
      <w:r>
        <w:rPr>
          <w:rFonts w:hint="eastAsia"/>
          <w:lang w:val="en-US" w:eastAsia="zh-CN"/>
        </w:rPr>
        <w:t xml:space="preserve">  </w:t>
      </w:r>
      <w:r>
        <w:t>排放报告与核算指南的符合性</w:t>
      </w:r>
      <w:r>
        <w:tab/>
      </w:r>
      <w:r>
        <w:fldChar w:fldCharType="begin"/>
      </w:r>
      <w:r>
        <w:instrText xml:space="preserve"> PAGEREF _Toc16030 \h </w:instrText>
      </w:r>
      <w:r>
        <w:fldChar w:fldCharType="separate"/>
      </w:r>
      <w:r>
        <w:t>25</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_Toc20284 </w:instrText>
      </w:r>
      <w:r>
        <w:rPr>
          <w:rFonts w:hint="eastAsia" w:eastAsia="宋体"/>
          <w:bCs/>
          <w:szCs w:val="52"/>
          <w:lang w:val="en-US" w:eastAsia="zh-CN"/>
        </w:rPr>
        <w:fldChar w:fldCharType="separate"/>
      </w:r>
      <w:r>
        <w:t>4.2</w:t>
      </w:r>
      <w:r>
        <w:rPr>
          <w:rFonts w:hint="eastAsia"/>
          <w:lang w:val="en-US" w:eastAsia="zh-CN"/>
        </w:rPr>
        <w:t xml:space="preserve">  </w:t>
      </w:r>
      <w:r>
        <w:t>排放量声明</w:t>
      </w:r>
      <w:r>
        <w:tab/>
      </w:r>
      <w:r>
        <w:fldChar w:fldCharType="begin"/>
      </w:r>
      <w:r>
        <w:instrText xml:space="preserve"> PAGEREF _Toc20284 \h </w:instrText>
      </w:r>
      <w:r>
        <w:fldChar w:fldCharType="separate"/>
      </w:r>
      <w:r>
        <w:t>25</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_Toc21872 </w:instrText>
      </w:r>
      <w:r>
        <w:rPr>
          <w:rFonts w:hint="eastAsia" w:eastAsia="宋体"/>
          <w:bCs/>
          <w:szCs w:val="52"/>
          <w:lang w:val="en-US" w:eastAsia="zh-CN"/>
        </w:rPr>
        <w:fldChar w:fldCharType="separate"/>
      </w:r>
      <w:r>
        <w:t>4.2.1企业法人边界的排放量声明</w:t>
      </w:r>
      <w:r>
        <w:tab/>
      </w:r>
      <w:r>
        <w:fldChar w:fldCharType="begin"/>
      </w:r>
      <w:r>
        <w:instrText xml:space="preserve"> PAGEREF _Toc21872 \h </w:instrText>
      </w:r>
      <w:r>
        <w:fldChar w:fldCharType="separate"/>
      </w:r>
      <w:r>
        <w:t>25</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_Toc28508 </w:instrText>
      </w:r>
      <w:r>
        <w:rPr>
          <w:rFonts w:hint="eastAsia" w:eastAsia="宋体"/>
          <w:bCs/>
          <w:szCs w:val="52"/>
          <w:lang w:val="en-US" w:eastAsia="zh-CN"/>
        </w:rPr>
        <w:fldChar w:fldCharType="separate"/>
      </w:r>
      <w:r>
        <w:t>4.2.2补充数据表填报的二氧化碳排放量声明</w:t>
      </w:r>
      <w:r>
        <w:tab/>
      </w:r>
      <w:r>
        <w:fldChar w:fldCharType="begin"/>
      </w:r>
      <w:r>
        <w:instrText xml:space="preserve"> PAGEREF _Toc28508 \h </w:instrText>
      </w:r>
      <w:r>
        <w:fldChar w:fldCharType="separate"/>
      </w:r>
      <w:r>
        <w:t>26</w:t>
      </w:r>
      <w:r>
        <w:fldChar w:fldCharType="end"/>
      </w:r>
      <w:r>
        <w:rPr>
          <w:rFonts w:hint="eastAsia" w:eastAsia="宋体"/>
          <w:bCs/>
          <w:szCs w:val="52"/>
          <w:lang w:val="en-US" w:eastAsia="zh-CN"/>
        </w:rPr>
        <w:fldChar w:fldCharType="end"/>
      </w:r>
    </w:p>
    <w:p>
      <w:pPr>
        <w:pStyle w:val="9"/>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_Toc24047 </w:instrText>
      </w:r>
      <w:r>
        <w:rPr>
          <w:rFonts w:hint="eastAsia" w:eastAsia="宋体"/>
          <w:bCs/>
          <w:szCs w:val="52"/>
          <w:lang w:val="en-US" w:eastAsia="zh-CN"/>
        </w:rPr>
        <w:fldChar w:fldCharType="separate"/>
      </w:r>
      <w:r>
        <w:t>4.2.3排放量存在异常波动的原因说明</w:t>
      </w:r>
      <w:r>
        <w:tab/>
      </w:r>
      <w:r>
        <w:fldChar w:fldCharType="begin"/>
      </w:r>
      <w:r>
        <w:instrText xml:space="preserve"> PAGEREF _Toc24047 \h </w:instrText>
      </w:r>
      <w:r>
        <w:fldChar w:fldCharType="separate"/>
      </w:r>
      <w:r>
        <w:t>26</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_Toc22365 </w:instrText>
      </w:r>
      <w:r>
        <w:rPr>
          <w:rFonts w:hint="eastAsia" w:eastAsia="宋体"/>
          <w:bCs/>
          <w:szCs w:val="52"/>
          <w:lang w:val="en-US" w:eastAsia="zh-CN"/>
        </w:rPr>
        <w:fldChar w:fldCharType="separate"/>
      </w:r>
      <w:r>
        <w:t>4.3</w:t>
      </w:r>
      <w:r>
        <w:rPr>
          <w:rFonts w:hint="eastAsia"/>
          <w:lang w:val="en-US" w:eastAsia="zh-CN"/>
        </w:rPr>
        <w:t xml:space="preserve">  </w:t>
      </w:r>
      <w:r>
        <w:t>核查过程中未覆盖的问题或者需要特别说明的问题描述</w:t>
      </w:r>
      <w:r>
        <w:tab/>
      </w:r>
      <w:r>
        <w:fldChar w:fldCharType="begin"/>
      </w:r>
      <w:r>
        <w:instrText xml:space="preserve"> PAGEREF _Toc22365 \h </w:instrText>
      </w:r>
      <w:r>
        <w:fldChar w:fldCharType="separate"/>
      </w:r>
      <w:r>
        <w:t>26</w:t>
      </w:r>
      <w:r>
        <w:fldChar w:fldCharType="end"/>
      </w:r>
      <w:r>
        <w:rPr>
          <w:rFonts w:hint="eastAsia" w:eastAsia="宋体"/>
          <w:bCs/>
          <w:szCs w:val="52"/>
          <w:lang w:val="en-US" w:eastAsia="zh-CN"/>
        </w:rPr>
        <w:fldChar w:fldCharType="end"/>
      </w:r>
    </w:p>
    <w:p>
      <w:pPr>
        <w:pStyle w:val="11"/>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_Toc27922 </w:instrText>
      </w:r>
      <w:r>
        <w:rPr>
          <w:rFonts w:hint="eastAsia" w:eastAsia="宋体"/>
          <w:bCs/>
          <w:szCs w:val="52"/>
          <w:lang w:val="en-US" w:eastAsia="zh-CN"/>
        </w:rPr>
        <w:fldChar w:fldCharType="separate"/>
      </w:r>
      <w:r>
        <w:t>第五章 附件</w:t>
      </w:r>
      <w:r>
        <w:tab/>
      </w:r>
      <w:r>
        <w:fldChar w:fldCharType="begin"/>
      </w:r>
      <w:r>
        <w:instrText xml:space="preserve"> PAGEREF _Toc27922 \h </w:instrText>
      </w:r>
      <w:r>
        <w:fldChar w:fldCharType="separate"/>
      </w:r>
      <w:r>
        <w:t>27</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_Toc29095 </w:instrText>
      </w:r>
      <w:r>
        <w:rPr>
          <w:rFonts w:hint="eastAsia" w:eastAsia="宋体"/>
          <w:bCs/>
          <w:szCs w:val="52"/>
          <w:lang w:val="en-US" w:eastAsia="zh-CN"/>
        </w:rPr>
        <w:fldChar w:fldCharType="separate"/>
      </w:r>
      <w:r>
        <w:t>附件1：不符合清单</w:t>
      </w:r>
      <w:r>
        <w:tab/>
      </w:r>
      <w:r>
        <w:fldChar w:fldCharType="begin"/>
      </w:r>
      <w:r>
        <w:instrText xml:space="preserve"> PAGEREF _Toc29095 \h </w:instrText>
      </w:r>
      <w:r>
        <w:fldChar w:fldCharType="separate"/>
      </w:r>
      <w:r>
        <w:t>27</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_Toc28608 </w:instrText>
      </w:r>
      <w:r>
        <w:rPr>
          <w:rFonts w:hint="eastAsia" w:eastAsia="宋体"/>
          <w:bCs/>
          <w:szCs w:val="52"/>
          <w:lang w:val="en-US" w:eastAsia="zh-CN"/>
        </w:rPr>
        <w:fldChar w:fldCharType="separate"/>
      </w:r>
      <w:r>
        <w:t>附件2：对今后核算活动的建议</w:t>
      </w:r>
      <w:r>
        <w:tab/>
      </w:r>
      <w:r>
        <w:fldChar w:fldCharType="begin"/>
      </w:r>
      <w:r>
        <w:instrText xml:space="preserve"> PAGEREF _Toc28608 \h </w:instrText>
      </w:r>
      <w:r>
        <w:fldChar w:fldCharType="separate"/>
      </w:r>
      <w:r>
        <w:t>27</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_Toc31515 </w:instrText>
      </w:r>
      <w:r>
        <w:rPr>
          <w:rFonts w:hint="eastAsia" w:eastAsia="宋体"/>
          <w:bCs/>
          <w:szCs w:val="52"/>
          <w:lang w:val="en-US" w:eastAsia="zh-CN"/>
        </w:rPr>
        <w:fldChar w:fldCharType="separate"/>
      </w:r>
      <w:r>
        <w:t>附件3：支持性文件清单</w:t>
      </w:r>
      <w:r>
        <w:tab/>
      </w:r>
      <w:r>
        <w:fldChar w:fldCharType="begin"/>
      </w:r>
      <w:r>
        <w:instrText xml:space="preserve"> PAGEREF _Toc31515 \h </w:instrText>
      </w:r>
      <w:r>
        <w:fldChar w:fldCharType="separate"/>
      </w:r>
      <w:r>
        <w:t>27</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_Toc3207 </w:instrText>
      </w:r>
      <w:r>
        <w:rPr>
          <w:rFonts w:hint="eastAsia" w:eastAsia="宋体"/>
          <w:bCs/>
          <w:szCs w:val="52"/>
          <w:lang w:val="en-US" w:eastAsia="zh-CN"/>
        </w:rPr>
        <w:fldChar w:fldCharType="separate"/>
      </w:r>
      <w:r>
        <w:t>1、 营业执照</w:t>
      </w:r>
      <w:r>
        <w:tab/>
      </w:r>
      <w:r>
        <w:fldChar w:fldCharType="begin"/>
      </w:r>
      <w:r>
        <w:instrText xml:space="preserve"> PAGEREF _Toc3207 \h </w:instrText>
      </w:r>
      <w:r>
        <w:fldChar w:fldCharType="separate"/>
      </w:r>
      <w:r>
        <w:t>28</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_Toc12412 </w:instrText>
      </w:r>
      <w:r>
        <w:rPr>
          <w:rFonts w:hint="eastAsia" w:eastAsia="宋体"/>
          <w:bCs/>
          <w:szCs w:val="52"/>
          <w:lang w:val="en-US" w:eastAsia="zh-CN"/>
        </w:rPr>
        <w:fldChar w:fldCharType="separate"/>
      </w:r>
      <w:r>
        <w:t>2、组织机构图</w:t>
      </w:r>
      <w:r>
        <w:tab/>
      </w:r>
      <w:r>
        <w:fldChar w:fldCharType="begin"/>
      </w:r>
      <w:r>
        <w:instrText xml:space="preserve"> PAGEREF _Toc12412 \h </w:instrText>
      </w:r>
      <w:r>
        <w:fldChar w:fldCharType="separate"/>
      </w:r>
      <w:r>
        <w:t>29</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_Toc9184 </w:instrText>
      </w:r>
      <w:r>
        <w:rPr>
          <w:rFonts w:hint="eastAsia" w:eastAsia="宋体"/>
          <w:bCs/>
          <w:szCs w:val="52"/>
          <w:lang w:val="en-US" w:eastAsia="zh-CN"/>
        </w:rPr>
        <w:fldChar w:fldCharType="separate"/>
      </w:r>
      <w:r>
        <w:t>3、</w:t>
      </w:r>
      <w:r>
        <w:rPr>
          <w:rFonts w:hint="eastAsia"/>
          <w:lang w:val="en-US" w:eastAsia="zh-CN"/>
        </w:rPr>
        <w:t>专用</w:t>
      </w:r>
      <w:r>
        <w:t>设备清单</w:t>
      </w:r>
      <w:r>
        <w:tab/>
      </w:r>
      <w:r>
        <w:fldChar w:fldCharType="begin"/>
      </w:r>
      <w:r>
        <w:instrText xml:space="preserve"> PAGEREF _Toc9184 \h </w:instrText>
      </w:r>
      <w:r>
        <w:fldChar w:fldCharType="separate"/>
      </w:r>
      <w:r>
        <w:t>30</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_Toc13336 </w:instrText>
      </w:r>
      <w:r>
        <w:rPr>
          <w:rFonts w:hint="eastAsia" w:eastAsia="宋体"/>
          <w:bCs/>
          <w:szCs w:val="52"/>
          <w:lang w:val="en-US" w:eastAsia="zh-CN"/>
        </w:rPr>
        <w:fldChar w:fldCharType="separate"/>
      </w:r>
      <w:r>
        <w:rPr>
          <w:rFonts w:hint="eastAsia"/>
          <w:lang w:val="en-US" w:eastAsia="zh-CN"/>
        </w:rPr>
        <w:t>4、 通用设备清单</w:t>
      </w:r>
      <w:r>
        <w:tab/>
      </w:r>
      <w:r>
        <w:fldChar w:fldCharType="begin"/>
      </w:r>
      <w:r>
        <w:instrText xml:space="preserve"> PAGEREF _Toc13336 \h </w:instrText>
      </w:r>
      <w:r>
        <w:fldChar w:fldCharType="separate"/>
      </w:r>
      <w:r>
        <w:t>32</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_Toc27574 </w:instrText>
      </w:r>
      <w:r>
        <w:rPr>
          <w:rFonts w:hint="eastAsia" w:eastAsia="宋体"/>
          <w:bCs/>
          <w:szCs w:val="52"/>
          <w:lang w:val="en-US" w:eastAsia="zh-CN"/>
        </w:rPr>
        <w:fldChar w:fldCharType="separate"/>
      </w:r>
      <w:r>
        <w:rPr>
          <w:rFonts w:hint="eastAsia"/>
          <w:lang w:val="en-US" w:eastAsia="zh-CN"/>
        </w:rPr>
        <w:t>5、</w:t>
      </w:r>
      <w:r>
        <w:t>厂区平面图</w:t>
      </w:r>
      <w:r>
        <w:tab/>
      </w:r>
      <w:r>
        <w:fldChar w:fldCharType="begin"/>
      </w:r>
      <w:r>
        <w:instrText xml:space="preserve"> PAGEREF _Toc27574 \h </w:instrText>
      </w:r>
      <w:r>
        <w:fldChar w:fldCharType="separate"/>
      </w:r>
      <w:r>
        <w:t>35</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_Toc21944 </w:instrText>
      </w:r>
      <w:r>
        <w:rPr>
          <w:rFonts w:hint="eastAsia" w:eastAsia="宋体"/>
          <w:bCs/>
          <w:szCs w:val="52"/>
          <w:lang w:val="en-US" w:eastAsia="zh-CN"/>
        </w:rPr>
        <w:fldChar w:fldCharType="separate"/>
      </w:r>
      <w:r>
        <w:rPr>
          <w:rFonts w:hint="eastAsia"/>
          <w:lang w:val="en-US" w:eastAsia="zh-CN"/>
        </w:rPr>
        <w:t>6</w:t>
      </w:r>
      <w:r>
        <w:t>、生产工艺流程图及简述</w:t>
      </w:r>
      <w:r>
        <w:tab/>
      </w:r>
      <w:r>
        <w:fldChar w:fldCharType="begin"/>
      </w:r>
      <w:r>
        <w:instrText xml:space="preserve"> PAGEREF _Toc21944 \h </w:instrText>
      </w:r>
      <w:r>
        <w:fldChar w:fldCharType="separate"/>
      </w:r>
      <w:r>
        <w:t>36</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_Toc18448 </w:instrText>
      </w:r>
      <w:r>
        <w:rPr>
          <w:rFonts w:hint="eastAsia" w:eastAsia="宋体"/>
          <w:bCs/>
          <w:szCs w:val="52"/>
          <w:lang w:val="en-US" w:eastAsia="zh-CN"/>
        </w:rPr>
        <w:fldChar w:fldCharType="separate"/>
      </w:r>
      <w:r>
        <w:rPr>
          <w:rFonts w:hint="eastAsia"/>
          <w:lang w:val="en-US" w:eastAsia="zh-CN"/>
        </w:rPr>
        <w:t>7</w:t>
      </w:r>
      <w:r>
        <w:t>、202</w:t>
      </w:r>
      <w:r>
        <w:rPr>
          <w:rFonts w:hint="eastAsia"/>
          <w:lang w:val="en-US" w:eastAsia="zh-CN"/>
        </w:rPr>
        <w:t>2</w:t>
      </w:r>
      <w:r>
        <w:t>年工厂能源消耗统计表</w:t>
      </w:r>
      <w:r>
        <w:tab/>
      </w:r>
      <w:r>
        <w:fldChar w:fldCharType="begin"/>
      </w:r>
      <w:r>
        <w:instrText xml:space="preserve"> PAGEREF _Toc18448 \h </w:instrText>
      </w:r>
      <w:r>
        <w:fldChar w:fldCharType="separate"/>
      </w:r>
      <w:r>
        <w:t>38</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_Toc30500 </w:instrText>
      </w:r>
      <w:r>
        <w:rPr>
          <w:rFonts w:hint="eastAsia" w:eastAsia="宋体"/>
          <w:bCs/>
          <w:szCs w:val="52"/>
          <w:lang w:val="en-US" w:eastAsia="zh-CN"/>
        </w:rPr>
        <w:fldChar w:fldCharType="separate"/>
      </w:r>
      <w:r>
        <w:rPr>
          <w:rFonts w:hint="eastAsia"/>
          <w:lang w:val="en-US" w:eastAsia="zh-CN"/>
        </w:rPr>
        <w:t>8</w:t>
      </w:r>
      <w:r>
        <w:t>、公司原辅料消耗 (202</w:t>
      </w:r>
      <w:r>
        <w:rPr>
          <w:rFonts w:hint="eastAsia"/>
          <w:lang w:val="en-US" w:eastAsia="zh-CN"/>
        </w:rPr>
        <w:t>2</w:t>
      </w:r>
      <w:r>
        <w:t>年)</w:t>
      </w:r>
      <w:r>
        <w:tab/>
      </w:r>
      <w:r>
        <w:fldChar w:fldCharType="begin"/>
      </w:r>
      <w:r>
        <w:instrText xml:space="preserve"> PAGEREF _Toc30500 \h </w:instrText>
      </w:r>
      <w:r>
        <w:fldChar w:fldCharType="separate"/>
      </w:r>
      <w:r>
        <w:t>39</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_Toc20995 </w:instrText>
      </w:r>
      <w:r>
        <w:rPr>
          <w:rFonts w:hint="eastAsia" w:eastAsia="宋体"/>
          <w:bCs/>
          <w:szCs w:val="52"/>
          <w:lang w:val="en-US" w:eastAsia="zh-CN"/>
        </w:rPr>
        <w:fldChar w:fldCharType="separate"/>
      </w:r>
      <w:r>
        <w:rPr>
          <w:rFonts w:hint="eastAsia"/>
          <w:lang w:val="en-US" w:eastAsia="zh-CN"/>
        </w:rPr>
        <w:t>9</w:t>
      </w:r>
      <w:r>
        <w:t>、企业介绍</w:t>
      </w:r>
      <w:r>
        <w:tab/>
      </w:r>
      <w:r>
        <w:fldChar w:fldCharType="begin"/>
      </w:r>
      <w:r>
        <w:instrText xml:space="preserve"> PAGEREF _Toc20995 \h </w:instrText>
      </w:r>
      <w:r>
        <w:fldChar w:fldCharType="separate"/>
      </w:r>
      <w:r>
        <w:t>40</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_Toc22978 </w:instrText>
      </w:r>
      <w:r>
        <w:rPr>
          <w:rFonts w:hint="eastAsia" w:eastAsia="宋体"/>
          <w:bCs/>
          <w:szCs w:val="52"/>
          <w:lang w:val="en-US" w:eastAsia="zh-CN"/>
        </w:rPr>
        <w:fldChar w:fldCharType="separate"/>
      </w:r>
      <w:r>
        <w:rPr>
          <w:rFonts w:hint="eastAsia"/>
          <w:lang w:val="en-US" w:eastAsia="zh-CN"/>
        </w:rPr>
        <w:t>10</w:t>
      </w:r>
      <w:r>
        <w:t>、工业产销总值及主要产品产量</w:t>
      </w:r>
      <w:r>
        <w:tab/>
      </w:r>
      <w:r>
        <w:fldChar w:fldCharType="begin"/>
      </w:r>
      <w:r>
        <w:instrText xml:space="preserve"> PAGEREF _Toc22978 \h </w:instrText>
      </w:r>
      <w:r>
        <w:fldChar w:fldCharType="separate"/>
      </w:r>
      <w:r>
        <w:t>40</w:t>
      </w:r>
      <w:r>
        <w:fldChar w:fldCharType="end"/>
      </w:r>
      <w:r>
        <w:rPr>
          <w:rFonts w:hint="eastAsia" w:eastAsia="宋体"/>
          <w:bCs/>
          <w:szCs w:val="52"/>
          <w:lang w:val="en-US" w:eastAsia="zh-CN"/>
        </w:rPr>
        <w:fldChar w:fldCharType="end"/>
      </w:r>
    </w:p>
    <w:p>
      <w:pPr>
        <w:pStyle w:val="12"/>
        <w:tabs>
          <w:tab w:val="right" w:leader="dot" w:pos="8306"/>
        </w:tabs>
      </w:pPr>
      <w:r>
        <w:rPr>
          <w:rFonts w:hint="eastAsia" w:eastAsia="宋体"/>
          <w:bCs/>
          <w:szCs w:val="52"/>
          <w:lang w:val="en-US" w:eastAsia="zh-CN"/>
        </w:rPr>
        <w:fldChar w:fldCharType="begin"/>
      </w:r>
      <w:r>
        <w:rPr>
          <w:rFonts w:hint="eastAsia" w:eastAsia="宋体"/>
          <w:bCs/>
          <w:szCs w:val="52"/>
          <w:lang w:val="en-US" w:eastAsia="zh-CN"/>
        </w:rPr>
        <w:instrText xml:space="preserve"> HYPERLINK \l _Toc18276 </w:instrText>
      </w:r>
      <w:r>
        <w:rPr>
          <w:rFonts w:hint="eastAsia" w:eastAsia="宋体"/>
          <w:bCs/>
          <w:szCs w:val="52"/>
          <w:lang w:val="en-US" w:eastAsia="zh-CN"/>
        </w:rPr>
        <w:fldChar w:fldCharType="separate"/>
      </w:r>
      <w:r>
        <w:t>10、202</w:t>
      </w:r>
      <w:r>
        <w:rPr>
          <w:rFonts w:hint="eastAsia"/>
          <w:lang w:val="en-US" w:eastAsia="zh-CN"/>
        </w:rPr>
        <w:t>2</w:t>
      </w:r>
      <w:r>
        <w:t>年度电力发票清单</w:t>
      </w:r>
      <w:r>
        <w:tab/>
      </w:r>
      <w:r>
        <w:fldChar w:fldCharType="begin"/>
      </w:r>
      <w:r>
        <w:instrText xml:space="preserve"> PAGEREF _Toc18276 \h </w:instrText>
      </w:r>
      <w:r>
        <w:fldChar w:fldCharType="separate"/>
      </w:r>
      <w:r>
        <w:t>42</w:t>
      </w:r>
      <w:r>
        <w:fldChar w:fldCharType="end"/>
      </w:r>
      <w:r>
        <w:rPr>
          <w:rFonts w:hint="eastAsia" w:eastAsia="宋体"/>
          <w:bCs/>
          <w:szCs w:val="52"/>
          <w:lang w:val="en-US" w:eastAsia="zh-CN"/>
        </w:rPr>
        <w:fldChar w:fldCharType="end"/>
      </w:r>
    </w:p>
    <w:p>
      <w:pPr>
        <w:jc w:val="center"/>
        <w:rPr>
          <w:rFonts w:hint="eastAsia" w:eastAsia="宋体"/>
          <w:b/>
          <w:bCs/>
          <w:sz w:val="52"/>
          <w:szCs w:val="52"/>
          <w:lang w:val="en-US" w:eastAsia="zh-CN"/>
        </w:rPr>
        <w:sectPr>
          <w:pgSz w:w="11906" w:h="16840"/>
          <w:pgMar w:top="1440" w:right="1800" w:bottom="1440" w:left="1800" w:header="0" w:footer="0" w:gutter="0"/>
          <w:cols w:space="720" w:num="1"/>
        </w:sectPr>
      </w:pPr>
      <w:r>
        <w:rPr>
          <w:rFonts w:hint="eastAsia" w:eastAsia="宋体"/>
          <w:bCs/>
          <w:szCs w:val="52"/>
          <w:lang w:val="en-US" w:eastAsia="zh-CN"/>
        </w:rPr>
        <w:fldChar w:fldCharType="end"/>
      </w:r>
    </w:p>
    <w:p>
      <w:pPr>
        <w:pStyle w:val="2"/>
        <w:bidi w:val="0"/>
        <w:rPr>
          <w:b/>
          <w:bCs/>
        </w:rPr>
      </w:pPr>
      <w:bookmarkStart w:id="0" w:name="_bookmark1"/>
      <w:bookmarkEnd w:id="0"/>
      <w:bookmarkStart w:id="1" w:name="_Toc15273"/>
      <w:r>
        <w:rPr>
          <w:b/>
          <w:bCs/>
        </w:rPr>
        <w:t>第一章  概述</w:t>
      </w:r>
      <w:bookmarkEnd w:id="1"/>
    </w:p>
    <w:p>
      <w:pPr>
        <w:pStyle w:val="4"/>
        <w:bidi w:val="0"/>
      </w:pPr>
      <w:bookmarkStart w:id="2" w:name="_bookmark2"/>
      <w:bookmarkEnd w:id="2"/>
      <w:bookmarkStart w:id="3" w:name="_Toc24046"/>
      <w:r>
        <w:t>1.1</w:t>
      </w:r>
      <w:r>
        <w:rPr>
          <w:rFonts w:hint="eastAsia"/>
          <w:lang w:val="en-US" w:eastAsia="zh-CN"/>
        </w:rPr>
        <w:t xml:space="preserve">  </w:t>
      </w:r>
      <w:r>
        <w:t>核查目的</w:t>
      </w:r>
      <w:bookmarkEnd w:id="3"/>
    </w:p>
    <w:p>
      <w:pPr>
        <w:pStyle w:val="8"/>
        <w:bidi w:val="0"/>
      </w:pPr>
      <w:r>
        <w:t>根据《国家发展改革委办公厅关于切实做好全国碳排放权交易市场启动重点工作的通知》 (发改办气候[2016]57号) 、《国家发展生态环境部办公厅</w:t>
      </w:r>
      <w:r>
        <w:rPr>
          <w:rFonts w:hint="eastAsia"/>
        </w:rPr>
        <w:t>关于做好2023—2025年发电行业企业温室气体排放报告管理有关工作的通知</w:t>
      </w:r>
      <w:r>
        <w:t>》 、《浙江省重点企</w:t>
      </w:r>
      <w:r>
        <w:rPr>
          <w:rFonts w:hint="eastAsia"/>
          <w:lang w:eastAsia="zh-CN"/>
        </w:rPr>
        <w:t>（</w:t>
      </w:r>
      <w:r>
        <w:t>事</w:t>
      </w:r>
      <w:r>
        <w:rPr>
          <w:rFonts w:hint="eastAsia"/>
          <w:lang w:eastAsia="zh-CN"/>
        </w:rPr>
        <w:t>）</w:t>
      </w:r>
      <w:r>
        <w:t>业单位温室气体排放核查指南 (试行) 》的要求，杭州申乾裕科技有限公司</w:t>
      </w:r>
      <w:r>
        <w:rPr>
          <w:rFonts w:hint="eastAsia"/>
          <w:lang w:eastAsia="zh-CN"/>
        </w:rPr>
        <w:t>（</w:t>
      </w:r>
      <w:r>
        <w:t>以下统称</w:t>
      </w:r>
      <w:r>
        <w:rPr>
          <w:rFonts w:hint="eastAsia"/>
          <w:lang w:eastAsia="zh-CN"/>
        </w:rPr>
        <w:t>“</w:t>
      </w:r>
      <w:r>
        <w:t>杭州申乾裕</w:t>
      </w:r>
      <w:r>
        <w:rPr>
          <w:rFonts w:hint="eastAsia"/>
          <w:lang w:eastAsia="zh-CN"/>
        </w:rPr>
        <w:t>”）</w:t>
      </w:r>
      <w:r>
        <w:t>受</w:t>
      </w:r>
      <w:r>
        <w:rPr>
          <w:rFonts w:hint="eastAsia"/>
          <w:lang w:eastAsia="zh-CN"/>
        </w:rPr>
        <w:t>浙江群展精密紧固件股份有限公司</w:t>
      </w:r>
      <w:r>
        <w:t>的委托， 对</w:t>
      </w:r>
      <w:r>
        <w:rPr>
          <w:rFonts w:hint="eastAsia"/>
          <w:lang w:eastAsia="zh-CN"/>
        </w:rPr>
        <w:t>浙江群展精密紧固件股份有限公司</w:t>
      </w:r>
      <w:r>
        <w:t xml:space="preserve"> (以下统称</w:t>
      </w:r>
      <w:r>
        <w:rPr>
          <w:rFonts w:hint="eastAsia"/>
          <w:lang w:eastAsia="zh-CN"/>
        </w:rPr>
        <w:t>“</w:t>
      </w:r>
      <w:r>
        <w:t>受核查方</w:t>
      </w:r>
      <w:r>
        <w:rPr>
          <w:rFonts w:hint="eastAsia"/>
          <w:lang w:eastAsia="zh-CN"/>
        </w:rPr>
        <w:t>”）</w:t>
      </w:r>
      <w:r>
        <w:t>202</w:t>
      </w:r>
      <w:r>
        <w:rPr>
          <w:rFonts w:hint="eastAsia"/>
          <w:lang w:val="en-US" w:eastAsia="zh-CN"/>
        </w:rPr>
        <w:t>2</w:t>
      </w:r>
      <w:r>
        <w:t>年度的温室气体排放报告进行核查。此次核查目的包括：</w:t>
      </w:r>
    </w:p>
    <w:p>
      <w:pPr>
        <w:pStyle w:val="8"/>
        <w:bidi w:val="0"/>
        <w:rPr>
          <w:highlight w:val="none"/>
        </w:rPr>
      </w:pPr>
      <w:r>
        <w:rPr>
          <w:rFonts w:hint="eastAsia"/>
          <w:lang w:val="en-US" w:eastAsia="zh-CN"/>
        </w:rPr>
        <w:t>-</w:t>
      </w:r>
      <w:r>
        <w:t>确认受核查方提供的温室气体排放报告及其支持文件是否是完整可信，是</w:t>
      </w:r>
      <w:r>
        <w:rPr>
          <w:highlight w:val="none"/>
        </w:rPr>
        <w:t>否符合《</w:t>
      </w:r>
      <w:r>
        <w:rPr>
          <w:rFonts w:hint="eastAsia"/>
          <w:highlight w:val="none"/>
          <w:lang w:eastAsia="zh-CN"/>
        </w:rPr>
        <w:t>机械设备制造企业温室气体排放核算方法与报告指南（试行）</w:t>
      </w:r>
      <w:r>
        <w:rPr>
          <w:highlight w:val="none"/>
        </w:rPr>
        <w:t>》的要求；</w:t>
      </w:r>
    </w:p>
    <w:p>
      <w:pPr>
        <w:pStyle w:val="8"/>
        <w:bidi w:val="0"/>
        <w:rPr>
          <w:highlight w:val="none"/>
        </w:rPr>
      </w:pPr>
      <w:r>
        <w:rPr>
          <w:highlight w:val="none"/>
        </w:rPr>
        <w:t>-确认受核查方温室气体排放监测设备是否已经到位、测量程序是否符合 《</w:t>
      </w:r>
      <w:r>
        <w:rPr>
          <w:rFonts w:hint="eastAsia"/>
          <w:highlight w:val="none"/>
          <w:lang w:eastAsia="zh-CN"/>
        </w:rPr>
        <w:t>机械设备制造企业温室气体排放核算方法与报告指南（试行）</w:t>
      </w:r>
      <w:r>
        <w:rPr>
          <w:highlight w:val="none"/>
        </w:rPr>
        <w:t>》及相应的国家要求；</w:t>
      </w:r>
    </w:p>
    <w:p>
      <w:pPr>
        <w:pStyle w:val="8"/>
        <w:bidi w:val="0"/>
        <w:rPr>
          <w:rFonts w:ascii="宋体" w:hAnsi="宋体" w:eastAsia="宋体" w:cs="宋体"/>
          <w:szCs w:val="28"/>
        </w:rPr>
      </w:pPr>
      <w:r>
        <w:rPr>
          <w:highlight w:val="none"/>
        </w:rPr>
        <w:t>-根据《</w:t>
      </w:r>
      <w:r>
        <w:rPr>
          <w:rFonts w:hint="eastAsia"/>
          <w:highlight w:val="none"/>
          <w:lang w:eastAsia="zh-CN"/>
        </w:rPr>
        <w:t>机械设备制造企业温室气体排放核算方法与报告指南（试行）</w:t>
      </w:r>
      <w:r>
        <w:rPr>
          <w:highlight w:val="none"/>
        </w:rPr>
        <w:t>》的要求，对记录和存储的数据进行评审，确认数 据及计算结果是否真实、可靠、</w:t>
      </w:r>
      <w:r>
        <w:t>正确。</w:t>
      </w:r>
    </w:p>
    <w:p>
      <w:pPr>
        <w:pStyle w:val="4"/>
        <w:bidi w:val="0"/>
      </w:pPr>
      <w:bookmarkStart w:id="4" w:name="_bookmark3"/>
      <w:bookmarkEnd w:id="4"/>
      <w:bookmarkStart w:id="5" w:name="_Toc7857"/>
      <w:r>
        <w:t>1.2</w:t>
      </w:r>
      <w:r>
        <w:rPr>
          <w:rFonts w:hint="eastAsia"/>
          <w:lang w:val="en-US" w:eastAsia="zh-CN"/>
        </w:rPr>
        <w:t xml:space="preserve">  </w:t>
      </w:r>
      <w:r>
        <w:t>核查范围</w:t>
      </w:r>
      <w:bookmarkEnd w:id="5"/>
    </w:p>
    <w:p>
      <w:pPr>
        <w:pStyle w:val="8"/>
        <w:bidi w:val="0"/>
      </w:pPr>
      <w:r>
        <w:t>本次核查范围包括：</w:t>
      </w:r>
    </w:p>
    <w:p>
      <w:pPr>
        <w:pStyle w:val="8"/>
        <w:bidi w:val="0"/>
      </w:pPr>
      <w:r>
        <w:t>-受核查方202</w:t>
      </w:r>
      <w:r>
        <w:rPr>
          <w:rFonts w:hint="eastAsia"/>
          <w:lang w:val="en-US" w:eastAsia="zh-CN"/>
        </w:rPr>
        <w:t>2</w:t>
      </w:r>
      <w:r>
        <w:t>年度在企业运营边界内的二氧化碳排放，位于</w:t>
      </w:r>
      <w:r>
        <w:rPr>
          <w:rFonts w:hint="eastAsia"/>
        </w:rPr>
        <w:t>浙江省</w:t>
      </w:r>
      <w:r>
        <w:t>嘉善县干窑镇</w:t>
      </w:r>
      <w:r>
        <w:rPr>
          <w:rFonts w:hint="eastAsia"/>
        </w:rPr>
        <w:t>庄驰</w:t>
      </w:r>
      <w:r>
        <w:t>中路</w:t>
      </w:r>
      <w:r>
        <w:rPr>
          <w:rFonts w:hint="eastAsia"/>
        </w:rPr>
        <w:t>8号</w:t>
      </w:r>
      <w:r>
        <w:t>，核查内容主要包括：</w:t>
      </w:r>
    </w:p>
    <w:p>
      <w:pPr>
        <w:pStyle w:val="8"/>
        <w:bidi w:val="0"/>
      </w:pPr>
      <w:r>
        <w:t>(1) 燃料燃烧排放；</w:t>
      </w:r>
    </w:p>
    <w:p>
      <w:pPr>
        <w:pStyle w:val="8"/>
        <w:bidi w:val="0"/>
      </w:pPr>
      <w:r>
        <w:t>(2) 工业生产过程排放；</w:t>
      </w:r>
    </w:p>
    <w:p>
      <w:pPr>
        <w:pStyle w:val="8"/>
        <w:bidi w:val="0"/>
      </w:pPr>
      <w:r>
        <w:t>(3) CO</w:t>
      </w:r>
      <w:r>
        <w:rPr>
          <w:vertAlign w:val="subscript"/>
        </w:rPr>
        <w:t xml:space="preserve">2 </w:t>
      </w:r>
      <w:r>
        <w:t>回收利用量；</w:t>
      </w:r>
    </w:p>
    <w:p>
      <w:pPr>
        <w:pStyle w:val="8"/>
        <w:bidi w:val="0"/>
      </w:pPr>
      <w:r>
        <w:t>(4) 净购入的电力消费引起的CO</w:t>
      </w:r>
      <w:r>
        <w:rPr>
          <w:vertAlign w:val="subscript"/>
        </w:rPr>
        <w:t>2</w:t>
      </w:r>
      <w:r>
        <w:t>排放。</w:t>
      </w:r>
    </w:p>
    <w:p>
      <w:pPr>
        <w:pStyle w:val="4"/>
        <w:bidi w:val="0"/>
      </w:pPr>
      <w:bookmarkStart w:id="6" w:name="_bookmark4"/>
      <w:bookmarkEnd w:id="6"/>
      <w:bookmarkStart w:id="7" w:name="_Toc24360"/>
      <w:r>
        <w:t>1.3</w:t>
      </w:r>
      <w:r>
        <w:rPr>
          <w:rFonts w:hint="eastAsia"/>
          <w:lang w:val="en-US" w:eastAsia="zh-CN"/>
        </w:rPr>
        <w:t xml:space="preserve">  </w:t>
      </w:r>
      <w:r>
        <w:t>核查准则</w:t>
      </w:r>
      <w:bookmarkEnd w:id="7"/>
    </w:p>
    <w:p>
      <w:pPr>
        <w:pStyle w:val="8"/>
        <w:bidi w:val="0"/>
      </w:pPr>
      <w:r>
        <w:t>-《工业企业温室气体排放核算和报告通则》(GB/T32150-2015) ；</w:t>
      </w:r>
    </w:p>
    <w:p>
      <w:pPr>
        <w:pStyle w:val="8"/>
        <w:bidi w:val="0"/>
        <w:rPr>
          <w:highlight w:val="none"/>
        </w:rPr>
      </w:pPr>
      <w:r>
        <w:rPr>
          <w:highlight w:val="none"/>
        </w:rPr>
        <w:t>-《</w:t>
      </w:r>
      <w:r>
        <w:rPr>
          <w:rFonts w:hint="eastAsia"/>
          <w:highlight w:val="none"/>
          <w:lang w:eastAsia="zh-CN"/>
        </w:rPr>
        <w:t>机械设备制造企业温室气体排放核算方法与报告指南（试行）</w:t>
      </w:r>
      <w:r>
        <w:rPr>
          <w:highlight w:val="none"/>
        </w:rPr>
        <w:t>》</w:t>
      </w:r>
      <w:r>
        <w:rPr>
          <w:rFonts w:hint="eastAsia"/>
          <w:highlight w:val="none"/>
          <w:lang w:eastAsia="zh-CN"/>
        </w:rPr>
        <w:t>（</w:t>
      </w:r>
      <w:r>
        <w:rPr>
          <w:highlight w:val="none"/>
        </w:rPr>
        <w:t>以下简称</w:t>
      </w:r>
      <w:r>
        <w:rPr>
          <w:rFonts w:hint="eastAsia"/>
          <w:highlight w:val="none"/>
          <w:lang w:eastAsia="zh-CN"/>
        </w:rPr>
        <w:t>“</w:t>
      </w:r>
      <w:r>
        <w:rPr>
          <w:highlight w:val="none"/>
        </w:rPr>
        <w:t>指南</w:t>
      </w:r>
      <w:r>
        <w:rPr>
          <w:rFonts w:hint="eastAsia"/>
          <w:highlight w:val="none"/>
          <w:lang w:eastAsia="zh-CN"/>
        </w:rPr>
        <w:t>”）</w:t>
      </w:r>
      <w:r>
        <w:rPr>
          <w:highlight w:val="none"/>
        </w:rPr>
        <w:t xml:space="preserve"> ；</w:t>
      </w:r>
    </w:p>
    <w:p>
      <w:pPr>
        <w:pStyle w:val="8"/>
        <w:bidi w:val="0"/>
      </w:pPr>
      <w:r>
        <w:rPr>
          <w:highlight w:val="none"/>
        </w:rPr>
        <w:t>-《</w:t>
      </w:r>
      <w:r>
        <w:t>国家发展改革委办公厅关于切实做好全国碳排放权交易市场启动重点 工作的通知》(发改办气候[2016]57号) ；</w:t>
      </w:r>
    </w:p>
    <w:p>
      <w:pPr>
        <w:pStyle w:val="8"/>
        <w:bidi w:val="0"/>
      </w:pPr>
      <w:r>
        <w:t>-《国家发展生态环境部办公厅</w:t>
      </w:r>
      <w:r>
        <w:rPr>
          <w:rFonts w:hint="eastAsia"/>
        </w:rPr>
        <w:t>关于做好2023—2025年发电行业企业温室气体排放报告管理有关工作的通知</w:t>
      </w:r>
      <w:r>
        <w:t>》</w:t>
      </w:r>
    </w:p>
    <w:p>
      <w:pPr>
        <w:pStyle w:val="8"/>
        <w:bidi w:val="0"/>
        <w:rPr>
          <w:rFonts w:hint="eastAsia"/>
          <w:lang w:eastAsia="zh-CN"/>
        </w:rPr>
      </w:pPr>
      <w:r>
        <w:t>-《全国碳排放权交易第三方核查参考指南》</w:t>
      </w:r>
      <w:r>
        <w:rPr>
          <w:rFonts w:hint="eastAsia"/>
          <w:lang w:eastAsia="zh-CN"/>
        </w:rPr>
        <w:t>；</w:t>
      </w:r>
    </w:p>
    <w:p>
      <w:pPr>
        <w:pStyle w:val="8"/>
        <w:bidi w:val="0"/>
      </w:pPr>
      <w:r>
        <w:t>-《碳排放交易管理暂行办法》 (国家发展改革委令第17号) ；</w:t>
      </w:r>
    </w:p>
    <w:p>
      <w:pPr>
        <w:pStyle w:val="8"/>
        <w:bidi w:val="0"/>
      </w:pPr>
      <w:r>
        <w:t>-《转发国家发展改革委办公厅关于切实做好全国碳排放权交易市场启动 重点工作的通知》(浙发改环资[2016]70号) ；</w:t>
      </w:r>
    </w:p>
    <w:p>
      <w:pPr>
        <w:pStyle w:val="8"/>
        <w:bidi w:val="0"/>
      </w:pPr>
      <w:r>
        <w:t>-《国家MRV问答平台百问百答-共性行业问题》(2017年版) ；</w:t>
      </w:r>
    </w:p>
    <w:p>
      <w:pPr>
        <w:pStyle w:val="8"/>
        <w:bidi w:val="0"/>
      </w:pPr>
      <w:r>
        <w:t>-《浙江省重点企(事)业单位温室气体排放核查指南 (试行) 》；</w:t>
      </w:r>
    </w:p>
    <w:p>
      <w:pPr>
        <w:pStyle w:val="8"/>
        <w:bidi w:val="0"/>
      </w:pPr>
      <w:r>
        <w:t>-《综合能耗计算通则》(GB/T2589-2008) ；</w:t>
      </w:r>
    </w:p>
    <w:p>
      <w:pPr>
        <w:pStyle w:val="8"/>
        <w:bidi w:val="0"/>
      </w:pPr>
      <w:r>
        <w:t>-《用能单位能源计量器具配备与管理通则》(GB17167-2006)等</w:t>
      </w:r>
      <w:bookmarkStart w:id="8" w:name="_bookmark5"/>
      <w:bookmarkEnd w:id="8"/>
    </w:p>
    <w:p>
      <w:r>
        <w:br w:type="page"/>
      </w:r>
    </w:p>
    <w:p>
      <w:pPr>
        <w:pStyle w:val="2"/>
        <w:bidi w:val="0"/>
      </w:pPr>
      <w:bookmarkStart w:id="9" w:name="_Toc26928"/>
      <w:r>
        <w:t>第二章  核查过程和方法</w:t>
      </w:r>
      <w:bookmarkEnd w:id="9"/>
    </w:p>
    <w:p>
      <w:pPr>
        <w:pStyle w:val="4"/>
        <w:bidi w:val="0"/>
      </w:pPr>
      <w:bookmarkStart w:id="10" w:name="_bookmark6"/>
      <w:bookmarkEnd w:id="10"/>
      <w:bookmarkStart w:id="11" w:name="_Toc11713"/>
      <w:r>
        <w:t>2.1</w:t>
      </w:r>
      <w:r>
        <w:rPr>
          <w:rFonts w:hint="eastAsia"/>
          <w:lang w:val="en-US" w:eastAsia="zh-CN"/>
        </w:rPr>
        <w:t xml:space="preserve">  </w:t>
      </w:r>
      <w:r>
        <w:t>文件评审</w:t>
      </w:r>
      <w:bookmarkEnd w:id="11"/>
    </w:p>
    <w:p>
      <w:pPr>
        <w:pStyle w:val="8"/>
        <w:bidi w:val="0"/>
      </w:pPr>
      <w:r>
        <w:t>核查组于202</w:t>
      </w:r>
      <w:r>
        <w:rPr>
          <w:rFonts w:hint="eastAsia"/>
          <w:lang w:val="en-US" w:eastAsia="zh-CN"/>
        </w:rPr>
        <w:t>3</w:t>
      </w:r>
      <w:r>
        <w:t>年</w:t>
      </w:r>
      <w:r>
        <w:rPr>
          <w:rFonts w:hint="eastAsia"/>
          <w:highlight w:val="none"/>
          <w:lang w:val="en-US" w:eastAsia="zh-CN"/>
        </w:rPr>
        <w:t>2</w:t>
      </w:r>
      <w:r>
        <w:rPr>
          <w:highlight w:val="none"/>
        </w:rPr>
        <w:t>月</w:t>
      </w:r>
      <w:r>
        <w:rPr>
          <w:rFonts w:hint="eastAsia"/>
          <w:highlight w:val="none"/>
          <w:lang w:val="en-US" w:eastAsia="zh-CN"/>
        </w:rPr>
        <w:t>20日</w:t>
      </w:r>
      <w:r>
        <w:rPr>
          <w:highlight w:val="none"/>
        </w:rPr>
        <w:t>收到受核查方提供的《202</w:t>
      </w:r>
      <w:r>
        <w:rPr>
          <w:rFonts w:hint="eastAsia"/>
          <w:highlight w:val="none"/>
          <w:lang w:val="en-US" w:eastAsia="zh-CN"/>
        </w:rPr>
        <w:t>2</w:t>
      </w:r>
      <w:r>
        <w:rPr>
          <w:highlight w:val="none"/>
        </w:rPr>
        <w:t>年度温室气体排放报告》 (以下简称</w:t>
      </w:r>
      <w:r>
        <w:rPr>
          <w:rFonts w:hint="eastAsia"/>
          <w:highlight w:val="none"/>
          <w:lang w:eastAsia="zh-CN"/>
        </w:rPr>
        <w:t>“</w:t>
      </w:r>
      <w:r>
        <w:rPr>
          <w:highlight w:val="none"/>
        </w:rPr>
        <w:t>《排放报告》</w:t>
      </w:r>
      <w:r>
        <w:rPr>
          <w:rFonts w:hint="eastAsia"/>
          <w:highlight w:val="none"/>
          <w:lang w:eastAsia="zh-CN"/>
        </w:rPr>
        <w:t>”）</w:t>
      </w:r>
      <w:r>
        <w:rPr>
          <w:highlight w:val="none"/>
        </w:rPr>
        <w:t xml:space="preserve"> ，并于202</w:t>
      </w:r>
      <w:r>
        <w:rPr>
          <w:rFonts w:hint="eastAsia"/>
          <w:highlight w:val="none"/>
          <w:lang w:val="en-US" w:eastAsia="zh-CN"/>
        </w:rPr>
        <w:t>3</w:t>
      </w:r>
      <w:r>
        <w:rPr>
          <w:highlight w:val="none"/>
        </w:rPr>
        <w:t>年</w:t>
      </w:r>
      <w:r>
        <w:rPr>
          <w:rFonts w:hint="eastAsia"/>
          <w:highlight w:val="none"/>
          <w:lang w:val="en-US" w:eastAsia="zh-CN"/>
        </w:rPr>
        <w:t>2</w:t>
      </w:r>
      <w:r>
        <w:rPr>
          <w:highlight w:val="none"/>
        </w:rPr>
        <w:t>月</w:t>
      </w:r>
      <w:r>
        <w:rPr>
          <w:rFonts w:hint="eastAsia"/>
          <w:highlight w:val="none"/>
          <w:lang w:val="en-US" w:eastAsia="zh-CN"/>
        </w:rPr>
        <w:t>22</w:t>
      </w:r>
      <w:r>
        <w:rPr>
          <w:highlight w:val="none"/>
        </w:rPr>
        <w:t>日对</w:t>
      </w:r>
      <w:r>
        <w:t>该报告进行了文件评审，同时经过现场的文件评审，具体核查支持性材料见附件 ，核查组确定以下内容：</w:t>
      </w:r>
    </w:p>
    <w:p>
      <w:pPr>
        <w:pStyle w:val="8"/>
        <w:bidi w:val="0"/>
      </w:pPr>
      <w:r>
        <w:t>1、初始排放报告中企业的组织边界、运行边界、排放源的准确性和完整性；</w:t>
      </w:r>
    </w:p>
    <w:p>
      <w:pPr>
        <w:pStyle w:val="8"/>
        <w:bidi w:val="0"/>
      </w:pPr>
      <w:r>
        <w:t>2、查看受核查方提供的支持性材料、确定活动数据和排放因子数据的真实性、可靠性、准确性；</w:t>
      </w:r>
    </w:p>
    <w:p>
      <w:pPr>
        <w:pStyle w:val="8"/>
        <w:bidi w:val="0"/>
      </w:pPr>
      <w:r>
        <w:t>3、核实数据产生、传递、汇总和报告过程，评审受核查方是否根据内部质量控制程序的要求，对企业能源消耗、原材料消耗、产品产量等建立了台账制度，指定专门部门和人员定期记录相关数据；</w:t>
      </w:r>
    </w:p>
    <w:p>
      <w:pPr>
        <w:pStyle w:val="8"/>
        <w:bidi w:val="0"/>
      </w:pPr>
      <w:r>
        <w:t>4、核证受核查方排放量的核算方法、核算过程是否依据《核算指南》要求进行；</w:t>
      </w:r>
    </w:p>
    <w:p>
      <w:pPr>
        <w:pStyle w:val="8"/>
        <w:bidi w:val="0"/>
      </w:pPr>
      <w:r>
        <w:t>5、现场查看企业的实际排放设备和计量器具的配备，是否与排放报告中描述一致；</w:t>
      </w:r>
    </w:p>
    <w:p>
      <w:pPr>
        <w:pStyle w:val="8"/>
        <w:bidi w:val="0"/>
      </w:pPr>
      <w:r>
        <w:t>6、通过对计量器具校验报告等的核查，确认受核查方的计量器具是否依据国家相关标准要求进行定期校验，用以判断其计量数据的准确性；</w:t>
      </w:r>
    </w:p>
    <w:p>
      <w:pPr>
        <w:pStyle w:val="8"/>
        <w:bidi w:val="0"/>
      </w:pPr>
      <w:r>
        <w:t>7、核证受核查方是否制定了相应的质量保证和文件存档制度。</w:t>
      </w:r>
    </w:p>
    <w:p>
      <w:pPr>
        <w:pStyle w:val="4"/>
        <w:bidi w:val="0"/>
      </w:pPr>
      <w:bookmarkStart w:id="12" w:name="_bookmark8"/>
      <w:bookmarkEnd w:id="12"/>
      <w:bookmarkStart w:id="13" w:name="_bookmark7"/>
      <w:bookmarkEnd w:id="13"/>
      <w:bookmarkStart w:id="14" w:name="_Toc10560"/>
      <w:r>
        <w:t>2.2</w:t>
      </w:r>
      <w:r>
        <w:rPr>
          <w:rFonts w:hint="eastAsia"/>
          <w:lang w:val="en-US" w:eastAsia="zh-CN"/>
        </w:rPr>
        <w:t xml:space="preserve">  </w:t>
      </w:r>
      <w:r>
        <w:t>核查组安排</w:t>
      </w:r>
      <w:bookmarkEnd w:id="14"/>
    </w:p>
    <w:p>
      <w:pPr>
        <w:pStyle w:val="8"/>
        <w:bidi w:val="0"/>
      </w:pPr>
      <w:r>
        <w:t>根据杭州申乾裕内部核查组人员能力及程序文件的要求，此次核查组由下表所示人员组成。</w:t>
      </w:r>
    </w:p>
    <w:p>
      <w:r>
        <w:br w:type="page"/>
      </w:r>
    </w:p>
    <w:p>
      <w:pPr>
        <w:pStyle w:val="7"/>
        <w:spacing w:line="228" w:lineRule="auto"/>
        <w:ind w:left="3152"/>
        <w:jc w:val="both"/>
        <w:rPr>
          <w:rFonts w:ascii="宋体" w:hAnsi="宋体" w:eastAsia="宋体" w:cs="宋体"/>
          <w:sz w:val="23"/>
          <w:szCs w:val="23"/>
        </w:rPr>
      </w:pPr>
      <w:r>
        <w:t xml:space="preserve">表 </w:t>
      </w:r>
      <w:r>
        <w:rPr>
          <w:rFonts w:hint="eastAsia"/>
          <w:lang w:val="en-US" w:eastAsia="zh-CN"/>
        </w:rPr>
        <w:t>2</w:t>
      </w:r>
      <w:r>
        <w:rPr>
          <w:rFonts w:hint="eastAsia" w:eastAsia="宋体"/>
          <w:lang w:eastAsia="zh-CN"/>
        </w:rPr>
        <w:t>-</w:t>
      </w:r>
      <w:r>
        <w:fldChar w:fldCharType="begin"/>
      </w:r>
      <w:r>
        <w:instrText xml:space="preserve"> SEQ 表 \* ARABIC \s 1 </w:instrText>
      </w:r>
      <w:r>
        <w:fldChar w:fldCharType="separate"/>
      </w:r>
      <w:r>
        <w:t>1</w:t>
      </w:r>
      <w:r>
        <w:fldChar w:fldCharType="end"/>
      </w:r>
      <w:r>
        <w:rPr>
          <w:rFonts w:ascii="宋体" w:hAnsi="宋体" w:eastAsia="宋体" w:cs="宋体"/>
          <w:spacing w:val="-2"/>
          <w:sz w:val="23"/>
          <w:szCs w:val="23"/>
        </w:rPr>
        <w:t xml:space="preserve"> 核查</w:t>
      </w:r>
      <w:r>
        <w:rPr>
          <w:rFonts w:ascii="宋体" w:hAnsi="宋体" w:eastAsia="宋体" w:cs="宋体"/>
          <w:spacing w:val="-1"/>
          <w:sz w:val="23"/>
          <w:szCs w:val="23"/>
        </w:rPr>
        <w:t>组成员表</w:t>
      </w:r>
    </w:p>
    <w:p>
      <w:pPr>
        <w:spacing w:line="148" w:lineRule="exact"/>
      </w:pPr>
    </w:p>
    <w:tbl>
      <w:tblPr>
        <w:tblStyle w:val="16"/>
        <w:tblW w:w="83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7"/>
        <w:gridCol w:w="1675"/>
        <w:gridCol w:w="4388"/>
        <w:gridCol w:w="140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jc w:val="center"/>
        </w:trPr>
        <w:tc>
          <w:tcPr>
            <w:tcW w:w="837" w:type="dxa"/>
            <w:vAlign w:val="center"/>
          </w:tcPr>
          <w:p>
            <w:pPr>
              <w:pStyle w:val="17"/>
              <w:bidi w:val="0"/>
              <w:jc w:val="center"/>
              <w:rPr>
                <w:b/>
                <w:bCs/>
              </w:rPr>
            </w:pPr>
            <w:r>
              <w:rPr>
                <w:b/>
                <w:bCs/>
              </w:rPr>
              <w:t>姓名</w:t>
            </w:r>
          </w:p>
        </w:tc>
        <w:tc>
          <w:tcPr>
            <w:tcW w:w="1675" w:type="dxa"/>
            <w:vAlign w:val="center"/>
          </w:tcPr>
          <w:p>
            <w:pPr>
              <w:pStyle w:val="17"/>
              <w:bidi w:val="0"/>
              <w:jc w:val="center"/>
              <w:rPr>
                <w:b/>
                <w:bCs/>
              </w:rPr>
            </w:pPr>
            <w:r>
              <w:rPr>
                <w:b/>
                <w:bCs/>
              </w:rPr>
              <w:t>联系方式</w:t>
            </w:r>
          </w:p>
        </w:tc>
        <w:tc>
          <w:tcPr>
            <w:tcW w:w="4388" w:type="dxa"/>
            <w:vAlign w:val="center"/>
          </w:tcPr>
          <w:p>
            <w:pPr>
              <w:pStyle w:val="17"/>
              <w:bidi w:val="0"/>
              <w:jc w:val="center"/>
              <w:rPr>
                <w:b/>
                <w:bCs/>
              </w:rPr>
            </w:pPr>
            <w:r>
              <w:rPr>
                <w:b/>
                <w:bCs/>
              </w:rPr>
              <w:t>核查工作分工</w:t>
            </w:r>
          </w:p>
        </w:tc>
        <w:tc>
          <w:tcPr>
            <w:tcW w:w="1402" w:type="dxa"/>
            <w:vAlign w:val="center"/>
          </w:tcPr>
          <w:p>
            <w:pPr>
              <w:pStyle w:val="17"/>
              <w:bidi w:val="0"/>
              <w:jc w:val="center"/>
              <w:rPr>
                <w:b/>
                <w:bCs/>
              </w:rPr>
            </w:pPr>
            <w:r>
              <w:rPr>
                <w:b/>
                <w:bCs/>
              </w:rPr>
              <w:t>核查中担任岗位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0" w:hRule="atLeast"/>
          <w:jc w:val="center"/>
        </w:trPr>
        <w:tc>
          <w:tcPr>
            <w:tcW w:w="837" w:type="dxa"/>
            <w:vAlign w:val="center"/>
          </w:tcPr>
          <w:p>
            <w:pPr>
              <w:pStyle w:val="17"/>
              <w:bidi w:val="0"/>
              <w:jc w:val="center"/>
              <w:rPr>
                <w:spacing w:val="0"/>
                <w:position w:val="0"/>
              </w:rPr>
            </w:pPr>
            <w:r>
              <w:rPr>
                <w:spacing w:val="0"/>
                <w:position w:val="0"/>
              </w:rPr>
              <w:t>俞聪</w:t>
            </w:r>
          </w:p>
        </w:tc>
        <w:tc>
          <w:tcPr>
            <w:tcW w:w="1675" w:type="dxa"/>
            <w:vAlign w:val="center"/>
          </w:tcPr>
          <w:p>
            <w:pPr>
              <w:pStyle w:val="17"/>
              <w:bidi w:val="0"/>
              <w:jc w:val="center"/>
              <w:rPr>
                <w:spacing w:val="0"/>
                <w:position w:val="0"/>
              </w:rPr>
            </w:pPr>
            <w:r>
              <w:rPr>
                <w:spacing w:val="0"/>
                <w:position w:val="0"/>
              </w:rPr>
              <w:t>13953577889</w:t>
            </w:r>
          </w:p>
        </w:tc>
        <w:tc>
          <w:tcPr>
            <w:tcW w:w="4388" w:type="dxa"/>
            <w:vAlign w:val="center"/>
          </w:tcPr>
          <w:p>
            <w:pPr>
              <w:pStyle w:val="17"/>
              <w:bidi w:val="0"/>
              <w:jc w:val="both"/>
              <w:rPr>
                <w:spacing w:val="0"/>
                <w:position w:val="0"/>
              </w:rPr>
            </w:pPr>
            <w:r>
              <w:rPr>
                <w:spacing w:val="0"/>
                <w:position w:val="0"/>
              </w:rPr>
              <w:t>1、重点排放单位基本情况的核查；</w:t>
            </w:r>
          </w:p>
          <w:p>
            <w:pPr>
              <w:pStyle w:val="17"/>
              <w:bidi w:val="0"/>
              <w:jc w:val="both"/>
              <w:rPr>
                <w:spacing w:val="0"/>
                <w:position w:val="0"/>
              </w:rPr>
            </w:pPr>
            <w:r>
              <w:rPr>
                <w:spacing w:val="0"/>
                <w:position w:val="0"/>
              </w:rPr>
              <w:t>2</w:t>
            </w:r>
            <w:r>
              <w:rPr>
                <w:rFonts w:hint="eastAsia"/>
                <w:spacing w:val="0"/>
                <w:position w:val="0"/>
                <w:lang w:eastAsia="zh-CN"/>
              </w:rPr>
              <w:t>、</w:t>
            </w:r>
            <w:r>
              <w:rPr>
                <w:spacing w:val="0"/>
                <w:position w:val="0"/>
              </w:rPr>
              <w:t>核算边界的核查；</w:t>
            </w:r>
          </w:p>
          <w:p>
            <w:pPr>
              <w:pStyle w:val="17"/>
              <w:bidi w:val="0"/>
              <w:jc w:val="both"/>
              <w:rPr>
                <w:spacing w:val="0"/>
                <w:position w:val="0"/>
              </w:rPr>
            </w:pPr>
            <w:r>
              <w:rPr>
                <w:spacing w:val="0"/>
                <w:position w:val="0"/>
              </w:rPr>
              <w:t>3、核算方法的核查；</w:t>
            </w:r>
          </w:p>
          <w:p>
            <w:pPr>
              <w:pStyle w:val="17"/>
              <w:bidi w:val="0"/>
              <w:jc w:val="both"/>
              <w:rPr>
                <w:spacing w:val="0"/>
                <w:position w:val="0"/>
              </w:rPr>
            </w:pPr>
            <w:r>
              <w:rPr>
                <w:spacing w:val="0"/>
                <w:position w:val="0"/>
              </w:rPr>
              <w:t>4、核算数据的核查 (包含现场巡视确认活动数据的计量、活动数据的收集等)， 其中包括活动数据及来源的核查；</w:t>
            </w:r>
          </w:p>
          <w:p>
            <w:pPr>
              <w:pStyle w:val="17"/>
              <w:bidi w:val="0"/>
              <w:jc w:val="both"/>
              <w:rPr>
                <w:spacing w:val="0"/>
                <w:position w:val="0"/>
              </w:rPr>
            </w:pPr>
            <w:r>
              <w:rPr>
                <w:spacing w:val="0"/>
                <w:position w:val="0"/>
              </w:rPr>
              <w:t>5、核查报告的编写。</w:t>
            </w:r>
          </w:p>
        </w:tc>
        <w:tc>
          <w:tcPr>
            <w:tcW w:w="1402" w:type="dxa"/>
            <w:vAlign w:val="center"/>
          </w:tcPr>
          <w:p>
            <w:pPr>
              <w:pStyle w:val="17"/>
              <w:bidi w:val="0"/>
              <w:jc w:val="center"/>
              <w:rPr>
                <w:spacing w:val="0"/>
                <w:position w:val="0"/>
              </w:rPr>
            </w:pPr>
            <w:r>
              <w:rPr>
                <w:spacing w:val="0"/>
                <w:position w:val="0"/>
              </w:rPr>
              <w:t>核查组长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16" w:hRule="atLeast"/>
          <w:jc w:val="center"/>
        </w:trPr>
        <w:tc>
          <w:tcPr>
            <w:tcW w:w="837" w:type="dxa"/>
            <w:vAlign w:val="center"/>
          </w:tcPr>
          <w:p>
            <w:pPr>
              <w:pStyle w:val="17"/>
              <w:bidi w:val="0"/>
              <w:jc w:val="center"/>
              <w:rPr>
                <w:spacing w:val="0"/>
                <w:position w:val="0"/>
              </w:rPr>
            </w:pPr>
            <w:r>
              <w:rPr>
                <w:spacing w:val="0"/>
                <w:position w:val="0"/>
              </w:rPr>
              <w:t>张建华</w:t>
            </w:r>
          </w:p>
        </w:tc>
        <w:tc>
          <w:tcPr>
            <w:tcW w:w="1675" w:type="dxa"/>
            <w:vAlign w:val="center"/>
          </w:tcPr>
          <w:p>
            <w:pPr>
              <w:pStyle w:val="17"/>
              <w:bidi w:val="0"/>
              <w:jc w:val="both"/>
              <w:rPr>
                <w:spacing w:val="0"/>
                <w:position w:val="0"/>
              </w:rPr>
            </w:pPr>
            <w:r>
              <w:rPr>
                <w:spacing w:val="0"/>
                <w:position w:val="0"/>
              </w:rPr>
              <w:t>18824717428</w:t>
            </w:r>
          </w:p>
        </w:tc>
        <w:tc>
          <w:tcPr>
            <w:tcW w:w="4388" w:type="dxa"/>
            <w:vAlign w:val="center"/>
          </w:tcPr>
          <w:p>
            <w:pPr>
              <w:pStyle w:val="17"/>
              <w:bidi w:val="0"/>
              <w:jc w:val="both"/>
              <w:rPr>
                <w:spacing w:val="0"/>
                <w:position w:val="0"/>
              </w:rPr>
            </w:pPr>
            <w:r>
              <w:rPr>
                <w:spacing w:val="0"/>
                <w:position w:val="0"/>
              </w:rPr>
              <w:t>1、核算数据的核查，其中包括排放因子 数据及来源的核查、温室气体排放量一 级配额分配相关补充数据的核查；</w:t>
            </w:r>
          </w:p>
          <w:p>
            <w:pPr>
              <w:pStyle w:val="17"/>
              <w:bidi w:val="0"/>
              <w:jc w:val="both"/>
              <w:rPr>
                <w:spacing w:val="0"/>
                <w:position w:val="0"/>
              </w:rPr>
            </w:pPr>
            <w:r>
              <w:rPr>
                <w:spacing w:val="0"/>
                <w:position w:val="0"/>
              </w:rPr>
              <w:t>2</w:t>
            </w:r>
            <w:r>
              <w:rPr>
                <w:rFonts w:hint="eastAsia"/>
                <w:spacing w:val="0"/>
                <w:position w:val="0"/>
                <w:lang w:eastAsia="zh-CN"/>
              </w:rPr>
              <w:t>、</w:t>
            </w:r>
            <w:r>
              <w:rPr>
                <w:spacing w:val="0"/>
                <w:position w:val="0"/>
              </w:rPr>
              <w:t>质量保证和文件存档的核查；</w:t>
            </w:r>
          </w:p>
          <w:p>
            <w:pPr>
              <w:pStyle w:val="17"/>
              <w:bidi w:val="0"/>
              <w:jc w:val="both"/>
              <w:rPr>
                <w:spacing w:val="0"/>
                <w:position w:val="0"/>
              </w:rPr>
            </w:pPr>
            <w:r>
              <w:rPr>
                <w:spacing w:val="0"/>
                <w:position w:val="0"/>
              </w:rPr>
              <w:t>3</w:t>
            </w:r>
            <w:r>
              <w:rPr>
                <w:rFonts w:hint="eastAsia"/>
                <w:spacing w:val="0"/>
                <w:position w:val="0"/>
                <w:lang w:eastAsia="zh-CN"/>
              </w:rPr>
              <w:t>、</w:t>
            </w:r>
            <w:r>
              <w:rPr>
                <w:spacing w:val="0"/>
                <w:position w:val="0"/>
              </w:rPr>
              <w:t>核查报告的交叉评审。</w:t>
            </w:r>
          </w:p>
        </w:tc>
        <w:tc>
          <w:tcPr>
            <w:tcW w:w="1402" w:type="dxa"/>
            <w:vAlign w:val="center"/>
          </w:tcPr>
          <w:p>
            <w:pPr>
              <w:pStyle w:val="17"/>
              <w:bidi w:val="0"/>
              <w:jc w:val="center"/>
              <w:rPr>
                <w:spacing w:val="0"/>
                <w:position w:val="0"/>
              </w:rPr>
            </w:pPr>
            <w:r>
              <w:rPr>
                <w:spacing w:val="0"/>
                <w:position w:val="0"/>
              </w:rPr>
              <w:t>核查组员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jc w:val="center"/>
        </w:trPr>
        <w:tc>
          <w:tcPr>
            <w:tcW w:w="837" w:type="dxa"/>
            <w:vAlign w:val="center"/>
          </w:tcPr>
          <w:p>
            <w:pPr>
              <w:pStyle w:val="17"/>
              <w:bidi w:val="0"/>
              <w:jc w:val="center"/>
              <w:rPr>
                <w:spacing w:val="0"/>
                <w:position w:val="0"/>
              </w:rPr>
            </w:pPr>
            <w:r>
              <w:rPr>
                <w:spacing w:val="0"/>
                <w:position w:val="0"/>
              </w:rPr>
              <w:t>陈志刚</w:t>
            </w:r>
          </w:p>
        </w:tc>
        <w:tc>
          <w:tcPr>
            <w:tcW w:w="1675" w:type="dxa"/>
            <w:vAlign w:val="center"/>
          </w:tcPr>
          <w:p>
            <w:pPr>
              <w:pStyle w:val="17"/>
              <w:bidi w:val="0"/>
              <w:jc w:val="center"/>
              <w:rPr>
                <w:spacing w:val="0"/>
                <w:position w:val="0"/>
              </w:rPr>
            </w:pPr>
            <w:r>
              <w:rPr>
                <w:spacing w:val="0"/>
                <w:position w:val="0"/>
              </w:rPr>
              <w:t>13588114566</w:t>
            </w:r>
          </w:p>
        </w:tc>
        <w:tc>
          <w:tcPr>
            <w:tcW w:w="4388" w:type="dxa"/>
            <w:vAlign w:val="center"/>
          </w:tcPr>
          <w:p>
            <w:pPr>
              <w:pStyle w:val="17"/>
              <w:bidi w:val="0"/>
              <w:jc w:val="center"/>
              <w:rPr>
                <w:spacing w:val="0"/>
                <w:position w:val="0"/>
              </w:rPr>
            </w:pPr>
            <w:r>
              <w:rPr>
                <w:spacing w:val="0"/>
                <w:position w:val="0"/>
              </w:rPr>
              <w:t>主要负责对核查报告的复审工作。</w:t>
            </w:r>
          </w:p>
        </w:tc>
        <w:tc>
          <w:tcPr>
            <w:tcW w:w="1402" w:type="dxa"/>
            <w:vAlign w:val="center"/>
          </w:tcPr>
          <w:p>
            <w:pPr>
              <w:pStyle w:val="17"/>
              <w:bidi w:val="0"/>
              <w:jc w:val="center"/>
              <w:rPr>
                <w:spacing w:val="0"/>
                <w:position w:val="0"/>
              </w:rPr>
            </w:pPr>
            <w:r>
              <w:rPr>
                <w:spacing w:val="0"/>
                <w:position w:val="0"/>
              </w:rPr>
              <w:t>技术复审</w:t>
            </w:r>
          </w:p>
        </w:tc>
      </w:tr>
    </w:tbl>
    <w:p>
      <w:pPr>
        <w:pStyle w:val="4"/>
        <w:keepNext/>
        <w:keepLines/>
        <w:pageBreakBefore w:val="0"/>
        <w:widowControl/>
        <w:kinsoku/>
        <w:wordWrap/>
        <w:overflowPunct/>
        <w:topLinePunct w:val="0"/>
        <w:autoSpaceDE/>
        <w:autoSpaceDN/>
        <w:bidi w:val="0"/>
        <w:adjustRightInd/>
        <w:snapToGrid/>
        <w:spacing w:before="100"/>
        <w:textAlignment w:val="auto"/>
      </w:pPr>
      <w:bookmarkStart w:id="15" w:name="_bookmark9"/>
      <w:bookmarkEnd w:id="15"/>
      <w:bookmarkStart w:id="16" w:name="_Toc18338"/>
      <w:r>
        <w:t>2.3</w:t>
      </w:r>
      <w:r>
        <w:rPr>
          <w:rFonts w:hint="eastAsia"/>
          <w:lang w:val="en-US" w:eastAsia="zh-CN"/>
        </w:rPr>
        <w:t xml:space="preserve">  </w:t>
      </w:r>
      <w:r>
        <w:t>现场核查</w:t>
      </w:r>
      <w:bookmarkEnd w:id="16"/>
    </w:p>
    <w:p>
      <w:pPr>
        <w:pStyle w:val="8"/>
        <w:bidi w:val="0"/>
      </w:pPr>
      <w:r>
        <w:t>核查组成员于</w:t>
      </w:r>
      <w:r>
        <w:rPr>
          <w:highlight w:val="none"/>
        </w:rPr>
        <w:t>202</w:t>
      </w:r>
      <w:r>
        <w:rPr>
          <w:rFonts w:hint="eastAsia"/>
          <w:highlight w:val="none"/>
          <w:lang w:val="en-US" w:eastAsia="zh-CN"/>
        </w:rPr>
        <w:t>3</w:t>
      </w:r>
      <w:r>
        <w:rPr>
          <w:highlight w:val="none"/>
        </w:rPr>
        <w:t>年</w:t>
      </w:r>
      <w:r>
        <w:rPr>
          <w:rFonts w:hint="eastAsia"/>
          <w:highlight w:val="none"/>
          <w:lang w:val="en-US" w:eastAsia="zh-CN"/>
        </w:rPr>
        <w:t>2</w:t>
      </w:r>
      <w:r>
        <w:rPr>
          <w:highlight w:val="none"/>
        </w:rPr>
        <w:t>月</w:t>
      </w:r>
      <w:r>
        <w:rPr>
          <w:rFonts w:hint="eastAsia"/>
          <w:highlight w:val="none"/>
          <w:lang w:val="en-US" w:eastAsia="zh-CN"/>
        </w:rPr>
        <w:t>22</w:t>
      </w:r>
      <w:r>
        <w:rPr>
          <w:highlight w:val="none"/>
        </w:rPr>
        <w:t>日对</w:t>
      </w:r>
      <w:r>
        <w:t>受核查方温室气体排放情况进行了现场核查。在现场核查过程中，核查组首先召开启动会议，向企业介绍 此次的核查计划、核查目的、内容和方法、同时对文件评审中不符合项进行沟通，并了解和确定受核查方的组织边界；然后核查组安排一名核查组成员去生产现场进行查看主要耗能设备和计量器具，了解企业生产工艺执行的情况；其他核查组成员对负责相关工作的人员进行访谈，查阅相关文件、资料、数据，并进行资料的审查和计算，之后对活动数据进行交叉核查；最后核查组在内部讨论之后，召开末次会议，并给出核查发现及核查结论。现场核查的主要内容见下表</w:t>
      </w:r>
    </w:p>
    <w:p>
      <w:r>
        <w:br w:type="page"/>
      </w:r>
    </w:p>
    <w:p>
      <w:pPr>
        <w:pStyle w:val="7"/>
        <w:bidi w:val="0"/>
      </w:pPr>
      <w:r>
        <w:t>表2-2</w:t>
      </w:r>
      <w:r>
        <w:rPr>
          <w:rFonts w:hint="eastAsia"/>
          <w:lang w:val="en-US" w:eastAsia="zh-CN"/>
        </w:rPr>
        <w:t xml:space="preserve"> </w:t>
      </w:r>
      <w:r>
        <w:t>现场访问内容</w:t>
      </w:r>
    </w:p>
    <w:tbl>
      <w:tblPr>
        <w:tblStyle w:val="16"/>
        <w:tblW w:w="502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101"/>
        <w:gridCol w:w="2267"/>
        <w:gridCol w:w="1170"/>
        <w:gridCol w:w="1183"/>
        <w:gridCol w:w="40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562" w:type="pct"/>
            <w:vAlign w:val="center"/>
          </w:tcPr>
          <w:p>
            <w:pPr>
              <w:pStyle w:val="17"/>
              <w:bidi w:val="0"/>
            </w:pPr>
            <w:r>
              <w:t>时间</w:t>
            </w:r>
          </w:p>
        </w:tc>
        <w:tc>
          <w:tcPr>
            <w:tcW w:w="1157" w:type="pct"/>
            <w:vAlign w:val="center"/>
          </w:tcPr>
          <w:p>
            <w:pPr>
              <w:pStyle w:val="17"/>
              <w:bidi w:val="0"/>
            </w:pPr>
            <w:r>
              <w:t>核查工作</w:t>
            </w:r>
          </w:p>
        </w:tc>
        <w:tc>
          <w:tcPr>
            <w:tcW w:w="597" w:type="pct"/>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tLeast"/>
              <w:textAlignment w:val="baseline"/>
            </w:pPr>
            <w:r>
              <w:t>访问对象</w:t>
            </w:r>
          </w:p>
        </w:tc>
        <w:tc>
          <w:tcPr>
            <w:tcW w:w="604" w:type="pct"/>
            <w:vAlign w:val="center"/>
          </w:tcPr>
          <w:p>
            <w:pPr>
              <w:pStyle w:val="17"/>
              <w:bidi w:val="0"/>
            </w:pPr>
            <w:r>
              <w:t>部门</w:t>
            </w:r>
          </w:p>
        </w:tc>
        <w:tc>
          <w:tcPr>
            <w:tcW w:w="2078" w:type="pct"/>
            <w:vAlign w:val="center"/>
          </w:tcPr>
          <w:p>
            <w:pPr>
              <w:pStyle w:val="17"/>
              <w:bidi w:val="0"/>
            </w:pPr>
            <w:r>
              <w:t>核查内容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2" w:type="pct"/>
            <w:vMerge w:val="restart"/>
            <w:vAlign w:val="center"/>
          </w:tcPr>
          <w:p>
            <w:pPr>
              <w:pStyle w:val="17"/>
              <w:bidi w:val="0"/>
            </w:pPr>
            <w:r>
              <w:t>202</w:t>
            </w:r>
            <w:r>
              <w:rPr>
                <w:rFonts w:hint="eastAsia"/>
                <w:lang w:val="en-US" w:eastAsia="zh-CN"/>
              </w:rPr>
              <w:t>3</w:t>
            </w:r>
            <w:r>
              <w:t>.</w:t>
            </w:r>
            <w:r>
              <w:rPr>
                <w:rFonts w:hint="eastAsia"/>
                <w:lang w:val="en-US" w:eastAsia="zh-CN"/>
              </w:rPr>
              <w:t>2</w:t>
            </w:r>
            <w:r>
              <w:t xml:space="preserve">. </w:t>
            </w:r>
            <w:r>
              <w:rPr>
                <w:rFonts w:hint="eastAsia"/>
                <w:lang w:val="en-US" w:eastAsia="zh-CN"/>
              </w:rPr>
              <w:t>22</w:t>
            </w:r>
            <w:r>
              <w:t>上午</w:t>
            </w:r>
          </w:p>
        </w:tc>
        <w:tc>
          <w:tcPr>
            <w:tcW w:w="1157" w:type="pct"/>
            <w:vAlign w:val="center"/>
          </w:tcPr>
          <w:p>
            <w:pPr>
              <w:pStyle w:val="17"/>
              <w:bidi w:val="0"/>
              <w:jc w:val="both"/>
              <w:rPr>
                <w:b/>
                <w:bCs/>
              </w:rPr>
            </w:pPr>
            <w:r>
              <w:rPr>
                <w:b/>
                <w:bCs/>
              </w:rPr>
              <w:t>启动会议</w:t>
            </w:r>
          </w:p>
          <w:p>
            <w:pPr>
              <w:pStyle w:val="17"/>
              <w:bidi w:val="0"/>
              <w:jc w:val="both"/>
            </w:pPr>
            <w:r>
              <w:t>了解组织边界、运行边界，文审不符合确认</w:t>
            </w:r>
          </w:p>
        </w:tc>
        <w:tc>
          <w:tcPr>
            <w:tcW w:w="597" w:type="pct"/>
            <w:vAlign w:val="center"/>
          </w:tcPr>
          <w:p>
            <w:pPr>
              <w:pStyle w:val="17"/>
              <w:bidi w:val="0"/>
              <w:rPr>
                <w:rFonts w:hint="eastAsia"/>
                <w:highlight w:val="yellow"/>
              </w:rPr>
            </w:pPr>
            <w:r>
              <w:rPr>
                <w:rFonts w:hint="eastAsia" w:ascii="Times New Roman" w:hAnsi="Times New Roman"/>
                <w:color w:val="000000"/>
                <w:kern w:val="0"/>
                <w:sz w:val="24"/>
              </w:rPr>
              <w:t>沈贝萍</w:t>
            </w:r>
          </w:p>
          <w:p>
            <w:pPr>
              <w:pStyle w:val="17"/>
              <w:bidi w:val="0"/>
              <w:rPr>
                <w:rFonts w:hint="eastAsia"/>
                <w:highlight w:val="none"/>
              </w:rPr>
            </w:pPr>
            <w:r>
              <w:rPr>
                <w:rFonts w:hint="eastAsia"/>
                <w:highlight w:val="none"/>
              </w:rPr>
              <w:t>张涛</w:t>
            </w:r>
          </w:p>
          <w:p>
            <w:pPr>
              <w:pStyle w:val="17"/>
              <w:bidi w:val="0"/>
              <w:rPr>
                <w:rFonts w:hint="eastAsia" w:eastAsia="宋体"/>
                <w:highlight w:val="none"/>
                <w:lang w:eastAsia="zh-CN"/>
              </w:rPr>
            </w:pPr>
            <w:r>
              <w:rPr>
                <w:rFonts w:hint="eastAsia"/>
                <w:highlight w:val="none"/>
                <w:lang w:val="en-US" w:eastAsia="zh-CN"/>
              </w:rPr>
              <w:t>谢明芳</w:t>
            </w:r>
          </w:p>
        </w:tc>
        <w:tc>
          <w:tcPr>
            <w:tcW w:w="604" w:type="pct"/>
            <w:vAlign w:val="center"/>
          </w:tcPr>
          <w:p>
            <w:pPr>
              <w:pStyle w:val="17"/>
              <w:bidi w:val="0"/>
              <w:rPr>
                <w:highlight w:val="none"/>
              </w:rPr>
            </w:pPr>
            <w:r>
              <w:rPr>
                <w:highlight w:val="none"/>
              </w:rPr>
              <w:t>行政人力 生产制造 资财管理</w:t>
            </w:r>
          </w:p>
        </w:tc>
        <w:tc>
          <w:tcPr>
            <w:tcW w:w="2078" w:type="pct"/>
            <w:vAlign w:val="center"/>
          </w:tcPr>
          <w:p>
            <w:pPr>
              <w:pStyle w:val="17"/>
              <w:bidi w:val="0"/>
              <w:jc w:val="both"/>
              <w:rPr>
                <w:spacing w:val="0"/>
                <w:position w:val="0"/>
              </w:rPr>
            </w:pPr>
            <w:r>
              <w:rPr>
                <w:rFonts w:hint="eastAsia"/>
                <w:spacing w:val="0"/>
                <w:position w:val="0"/>
                <w:lang w:val="en-US" w:eastAsia="zh-CN"/>
              </w:rPr>
              <w:t>-</w:t>
            </w:r>
            <w:r>
              <w:rPr>
                <w:spacing w:val="0"/>
                <w:position w:val="0"/>
              </w:rPr>
              <w:t>介绍核查计划；</w:t>
            </w:r>
          </w:p>
          <w:p>
            <w:pPr>
              <w:pStyle w:val="17"/>
              <w:bidi w:val="0"/>
              <w:jc w:val="both"/>
              <w:rPr>
                <w:spacing w:val="0"/>
                <w:position w:val="0"/>
              </w:rPr>
            </w:pPr>
            <w:r>
              <w:rPr>
                <w:spacing w:val="0"/>
                <w:position w:val="0"/>
              </w:rPr>
              <w:t>-对文件评审不符合项进行沟通；</w:t>
            </w:r>
          </w:p>
          <w:p>
            <w:pPr>
              <w:pStyle w:val="17"/>
              <w:bidi w:val="0"/>
              <w:jc w:val="both"/>
              <w:rPr>
                <w:spacing w:val="0"/>
                <w:position w:val="0"/>
              </w:rPr>
            </w:pPr>
            <w:r>
              <w:rPr>
                <w:spacing w:val="0"/>
                <w:position w:val="0"/>
              </w:rPr>
              <w:t>-要求相关部门配合核查工作；</w:t>
            </w:r>
          </w:p>
          <w:p>
            <w:pPr>
              <w:pStyle w:val="17"/>
              <w:bidi w:val="0"/>
              <w:jc w:val="both"/>
              <w:rPr>
                <w:spacing w:val="0"/>
                <w:position w:val="0"/>
              </w:rPr>
            </w:pPr>
            <w:r>
              <w:rPr>
                <w:spacing w:val="0"/>
                <w:position w:val="0"/>
              </w:rPr>
              <w:t>-营业执照、组织机构代码、平面边界图；</w:t>
            </w:r>
          </w:p>
          <w:p>
            <w:pPr>
              <w:pStyle w:val="17"/>
              <w:bidi w:val="0"/>
              <w:jc w:val="both"/>
              <w:rPr>
                <w:spacing w:val="0"/>
                <w:position w:val="0"/>
              </w:rPr>
            </w:pPr>
            <w:r>
              <w:rPr>
                <w:spacing w:val="0"/>
                <w:position w:val="0"/>
              </w:rPr>
              <w:t>-工艺流程图、组织机构图、企业基本信息；</w:t>
            </w:r>
          </w:p>
          <w:p>
            <w:pPr>
              <w:pStyle w:val="17"/>
              <w:bidi w:val="0"/>
              <w:jc w:val="both"/>
              <w:rPr>
                <w:spacing w:val="0"/>
                <w:position w:val="0"/>
              </w:rPr>
            </w:pPr>
            <w:r>
              <w:rPr>
                <w:spacing w:val="0"/>
                <w:position w:val="0"/>
              </w:rPr>
              <w:t>-主要用能设备清单；</w:t>
            </w:r>
          </w:p>
          <w:p>
            <w:pPr>
              <w:pStyle w:val="17"/>
              <w:bidi w:val="0"/>
              <w:jc w:val="both"/>
              <w:rPr>
                <w:spacing w:val="0"/>
                <w:position w:val="0"/>
              </w:rPr>
            </w:pPr>
            <w:r>
              <w:rPr>
                <w:spacing w:val="0"/>
                <w:position w:val="0"/>
              </w:rPr>
              <w:t>-固定资产租赁、转让记录；</w:t>
            </w:r>
          </w:p>
          <w:p>
            <w:pPr>
              <w:pStyle w:val="17"/>
              <w:bidi w:val="0"/>
              <w:jc w:val="both"/>
            </w:pPr>
            <w:r>
              <w:rPr>
                <w:spacing w:val="0"/>
                <w:position w:val="0"/>
              </w:rPr>
              <w:t>-能源计量网络图。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3" w:hRule="atLeast"/>
        </w:trPr>
        <w:tc>
          <w:tcPr>
            <w:tcW w:w="562" w:type="pct"/>
            <w:vMerge w:val="continue"/>
            <w:vAlign w:val="center"/>
          </w:tcPr>
          <w:p>
            <w:pPr>
              <w:pStyle w:val="17"/>
              <w:bidi w:val="0"/>
              <w:ind w:left="0"/>
              <w:jc w:val="both"/>
              <w:rPr>
                <w:rFonts w:ascii="Times New Roman" w:hAnsi="Times New Roman" w:cs="Times New Roman"/>
                <w:spacing w:val="0"/>
                <w:position w:val="0"/>
              </w:rPr>
            </w:pPr>
          </w:p>
        </w:tc>
        <w:tc>
          <w:tcPr>
            <w:tcW w:w="1157" w:type="pct"/>
            <w:vAlign w:val="center"/>
          </w:tcPr>
          <w:p>
            <w:pPr>
              <w:pStyle w:val="17"/>
              <w:bidi w:val="0"/>
              <w:ind w:left="0"/>
              <w:jc w:val="both"/>
              <w:rPr>
                <w:rFonts w:ascii="Times New Roman" w:hAnsi="Times New Roman" w:cs="Times New Roman"/>
                <w:b/>
                <w:bCs/>
                <w:spacing w:val="0"/>
                <w:position w:val="0"/>
              </w:rPr>
            </w:pPr>
            <w:r>
              <w:rPr>
                <w:rFonts w:ascii="Times New Roman" w:hAnsi="Times New Roman" w:cs="Times New Roman"/>
                <w:b/>
                <w:bCs/>
                <w:spacing w:val="0"/>
                <w:position w:val="0"/>
              </w:rPr>
              <w:t>现场核查</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查看生产运营系统，检查活动数据相关计量器具、核实设备检定结果</w:t>
            </w:r>
          </w:p>
        </w:tc>
        <w:tc>
          <w:tcPr>
            <w:tcW w:w="1170" w:type="dxa"/>
            <w:vAlign w:val="center"/>
          </w:tcPr>
          <w:p>
            <w:pPr>
              <w:pStyle w:val="17"/>
              <w:bidi w:val="0"/>
              <w:rPr>
                <w:rFonts w:hint="eastAsia" w:ascii="Times New Roman" w:hAnsi="Times New Roman"/>
                <w:color w:val="000000"/>
                <w:kern w:val="0"/>
                <w:sz w:val="24"/>
              </w:rPr>
            </w:pPr>
            <w:r>
              <w:rPr>
                <w:rFonts w:hint="eastAsia" w:ascii="Times New Roman" w:hAnsi="Times New Roman"/>
                <w:color w:val="000000"/>
                <w:kern w:val="0"/>
                <w:sz w:val="24"/>
              </w:rPr>
              <w:t>沈贝萍</w:t>
            </w:r>
          </w:p>
          <w:p>
            <w:pPr>
              <w:pStyle w:val="17"/>
              <w:bidi w:val="0"/>
              <w:rPr>
                <w:rFonts w:hint="eastAsia"/>
                <w:highlight w:val="none"/>
              </w:rPr>
            </w:pPr>
            <w:r>
              <w:rPr>
                <w:rFonts w:hint="eastAsia"/>
                <w:highlight w:val="none"/>
              </w:rPr>
              <w:t>张涛</w:t>
            </w:r>
          </w:p>
          <w:p>
            <w:pPr>
              <w:pStyle w:val="17"/>
              <w:bidi w:val="0"/>
              <w:ind w:left="0" w:leftChars="0"/>
              <w:rPr>
                <w:rFonts w:ascii="Times New Roman" w:hAnsi="Times New Roman" w:cs="Times New Roman"/>
                <w:spacing w:val="0"/>
                <w:position w:val="0"/>
              </w:rPr>
            </w:pPr>
            <w:r>
              <w:rPr>
                <w:rFonts w:hint="eastAsia"/>
                <w:highlight w:val="none"/>
                <w:lang w:val="en-US" w:eastAsia="zh-CN"/>
              </w:rPr>
              <w:t>谢明芳</w:t>
            </w:r>
          </w:p>
        </w:tc>
        <w:tc>
          <w:tcPr>
            <w:tcW w:w="1183" w:type="dxa"/>
            <w:vAlign w:val="center"/>
          </w:tcPr>
          <w:p>
            <w:pPr>
              <w:pStyle w:val="17"/>
              <w:bidi w:val="0"/>
              <w:ind w:left="0" w:leftChars="0"/>
              <w:rPr>
                <w:rFonts w:ascii="Times New Roman" w:hAnsi="Times New Roman" w:cs="Times New Roman"/>
                <w:spacing w:val="0"/>
                <w:position w:val="0"/>
              </w:rPr>
            </w:pPr>
            <w:r>
              <w:rPr>
                <w:highlight w:val="none"/>
              </w:rPr>
              <w:t>行政人力 生产制造 资财管理</w:t>
            </w:r>
          </w:p>
        </w:tc>
        <w:tc>
          <w:tcPr>
            <w:tcW w:w="2078" w:type="pct"/>
            <w:vAlign w:val="center"/>
          </w:tcPr>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-走访生产现场、对生产运营系统</w:t>
            </w:r>
          </w:p>
          <w:p>
            <w:pPr>
              <w:pStyle w:val="17"/>
              <w:bidi w:val="0"/>
              <w:ind w:left="0"/>
              <w:jc w:val="both"/>
              <w:rPr>
                <w:rFonts w:ascii="Times New Roman" w:hAnsi="Times New Roman" w:cs="Times New Roman"/>
                <w:spacing w:val="0"/>
                <w:position w:val="0"/>
              </w:rPr>
            </w:pPr>
            <w:r>
              <w:rPr>
                <w:rFonts w:hint="eastAsia" w:ascii="Times New Roman" w:hAnsi="Times New Roman" w:cs="Times New Roman"/>
                <w:spacing w:val="0"/>
                <w:position w:val="0"/>
                <w:lang w:val="en-US" w:eastAsia="zh-CN"/>
              </w:rPr>
              <w:t>-</w:t>
            </w:r>
            <w:r>
              <w:rPr>
                <w:rFonts w:ascii="Times New Roman" w:hAnsi="Times New Roman" w:cs="Times New Roman"/>
                <w:spacing w:val="0"/>
                <w:position w:val="0"/>
              </w:rPr>
              <w:t>主要排放源及排放设施进行查看并作记录或现场照片；</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-查看监测设备及其相关监测记录，监测设备的维护和校验情况</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-按照抽样计划进行现场核查。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1" w:hRule="atLeast"/>
        </w:trPr>
        <w:tc>
          <w:tcPr>
            <w:tcW w:w="562" w:type="pct"/>
            <w:vMerge w:val="continue"/>
            <w:vAlign w:val="center"/>
          </w:tcPr>
          <w:p>
            <w:pPr>
              <w:pStyle w:val="17"/>
              <w:bidi w:val="0"/>
              <w:ind w:left="0"/>
              <w:jc w:val="both"/>
              <w:rPr>
                <w:rFonts w:ascii="Times New Roman" w:hAnsi="Times New Roman" w:cs="Times New Roman"/>
                <w:spacing w:val="0"/>
                <w:position w:val="0"/>
              </w:rPr>
            </w:pPr>
          </w:p>
        </w:tc>
        <w:tc>
          <w:tcPr>
            <w:tcW w:w="1157" w:type="pct"/>
            <w:vAlign w:val="center"/>
          </w:tcPr>
          <w:p>
            <w:pPr>
              <w:pStyle w:val="17"/>
              <w:bidi w:val="0"/>
              <w:ind w:left="0"/>
              <w:jc w:val="both"/>
              <w:rPr>
                <w:rFonts w:ascii="Times New Roman" w:hAnsi="Times New Roman" w:cs="Times New Roman"/>
                <w:b/>
                <w:bCs/>
                <w:spacing w:val="0"/>
                <w:position w:val="0"/>
              </w:rPr>
            </w:pPr>
            <w:r>
              <w:rPr>
                <w:rFonts w:ascii="Times New Roman" w:hAnsi="Times New Roman" w:cs="Times New Roman"/>
                <w:b/>
                <w:bCs/>
                <w:spacing w:val="0"/>
                <w:position w:val="0"/>
              </w:rPr>
              <w:t>资料核查</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收集、审阅和复印相关文件、记录及台账；排放因子数据相关证明文件</w:t>
            </w:r>
          </w:p>
        </w:tc>
        <w:tc>
          <w:tcPr>
            <w:tcW w:w="1170" w:type="dxa"/>
            <w:vAlign w:val="center"/>
          </w:tcPr>
          <w:p>
            <w:pPr>
              <w:pStyle w:val="17"/>
              <w:bidi w:val="0"/>
              <w:rPr>
                <w:rFonts w:hint="eastAsia" w:ascii="Times New Roman" w:hAnsi="Times New Roman"/>
                <w:color w:val="000000"/>
                <w:kern w:val="0"/>
                <w:sz w:val="24"/>
              </w:rPr>
            </w:pPr>
            <w:r>
              <w:rPr>
                <w:rFonts w:hint="eastAsia" w:ascii="Times New Roman" w:hAnsi="Times New Roman"/>
                <w:color w:val="000000"/>
                <w:kern w:val="0"/>
                <w:sz w:val="24"/>
              </w:rPr>
              <w:t>沈贝萍</w:t>
            </w:r>
          </w:p>
          <w:p>
            <w:pPr>
              <w:pStyle w:val="17"/>
              <w:bidi w:val="0"/>
              <w:rPr>
                <w:rFonts w:hint="eastAsia"/>
                <w:highlight w:val="none"/>
              </w:rPr>
            </w:pPr>
            <w:r>
              <w:rPr>
                <w:rFonts w:hint="eastAsia"/>
                <w:highlight w:val="none"/>
              </w:rPr>
              <w:t>张涛</w:t>
            </w:r>
          </w:p>
          <w:p>
            <w:pPr>
              <w:pStyle w:val="17"/>
              <w:bidi w:val="0"/>
              <w:ind w:left="0" w:leftChars="0"/>
              <w:rPr>
                <w:rFonts w:ascii="Times New Roman" w:hAnsi="Times New Roman" w:cs="Times New Roman"/>
                <w:spacing w:val="0"/>
                <w:position w:val="0"/>
              </w:rPr>
            </w:pPr>
            <w:r>
              <w:rPr>
                <w:rFonts w:hint="eastAsia"/>
                <w:highlight w:val="none"/>
                <w:lang w:val="en-US" w:eastAsia="zh-CN"/>
              </w:rPr>
              <w:t>谢明芳</w:t>
            </w:r>
          </w:p>
        </w:tc>
        <w:tc>
          <w:tcPr>
            <w:tcW w:w="1183" w:type="dxa"/>
            <w:vAlign w:val="center"/>
          </w:tcPr>
          <w:p>
            <w:pPr>
              <w:pStyle w:val="17"/>
              <w:bidi w:val="0"/>
              <w:ind w:left="0" w:leftChars="0"/>
              <w:rPr>
                <w:rFonts w:ascii="Times New Roman" w:hAnsi="Times New Roman" w:cs="Times New Roman"/>
                <w:spacing w:val="0"/>
                <w:position w:val="0"/>
              </w:rPr>
            </w:pPr>
            <w:r>
              <w:rPr>
                <w:highlight w:val="none"/>
              </w:rPr>
              <w:t>行政人力 生产制造 资财管理</w:t>
            </w:r>
          </w:p>
        </w:tc>
        <w:tc>
          <w:tcPr>
            <w:tcW w:w="2078" w:type="pct"/>
            <w:vAlign w:val="center"/>
          </w:tcPr>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-企业能源统计报表等资料核查和收集；</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-核算方法、排放因子及碳排放计算的核查；</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-监测计划的制定及执行情况；</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-核查内部质量控制及文件存档。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2" w:hRule="atLeast"/>
        </w:trPr>
        <w:tc>
          <w:tcPr>
            <w:tcW w:w="562" w:type="pct"/>
            <w:vMerge w:val="restart"/>
            <w:vAlign w:val="center"/>
          </w:tcPr>
          <w:p>
            <w:pPr>
              <w:pStyle w:val="17"/>
              <w:bidi w:val="0"/>
              <w:ind w:left="0"/>
              <w:jc w:val="center"/>
              <w:rPr>
                <w:rFonts w:ascii="Times New Roman" w:hAnsi="Times New Roman" w:cs="Times New Roman"/>
                <w:spacing w:val="0"/>
                <w:position w:val="0"/>
              </w:rPr>
            </w:pPr>
            <w:r>
              <w:rPr>
                <w:rFonts w:ascii="Times New Roman" w:hAnsi="Times New Roman" w:cs="Times New Roman"/>
                <w:spacing w:val="0"/>
                <w:position w:val="0"/>
              </w:rPr>
              <w:t>202</w:t>
            </w:r>
            <w:r>
              <w:rPr>
                <w:rFonts w:hint="eastAsia" w:cs="Times New Roman"/>
                <w:spacing w:val="0"/>
                <w:position w:val="0"/>
                <w:lang w:val="en-US" w:eastAsia="zh-CN"/>
              </w:rPr>
              <w:t>3</w:t>
            </w:r>
            <w:r>
              <w:rPr>
                <w:rFonts w:ascii="Times New Roman" w:hAnsi="Times New Roman" w:cs="Times New Roman"/>
                <w:spacing w:val="0"/>
                <w:position w:val="0"/>
              </w:rPr>
              <w:t>.</w:t>
            </w:r>
            <w:r>
              <w:rPr>
                <w:rFonts w:hint="eastAsia" w:cs="Times New Roman"/>
                <w:spacing w:val="0"/>
                <w:position w:val="0"/>
                <w:lang w:val="en-US" w:eastAsia="zh-CN"/>
              </w:rPr>
              <w:t>2</w:t>
            </w:r>
            <w:r>
              <w:rPr>
                <w:rFonts w:ascii="Times New Roman" w:hAnsi="Times New Roman" w:cs="Times New Roman"/>
                <w:spacing w:val="0"/>
                <w:position w:val="0"/>
              </w:rPr>
              <w:t>.</w:t>
            </w:r>
            <w:r>
              <w:rPr>
                <w:rFonts w:hint="eastAsia" w:ascii="Times New Roman" w:hAnsi="Times New Roman" w:cs="Times New Roman"/>
                <w:spacing w:val="0"/>
                <w:position w:val="0"/>
                <w:lang w:val="en-US" w:eastAsia="zh-CN"/>
              </w:rPr>
              <w:t>2</w:t>
            </w:r>
            <w:r>
              <w:rPr>
                <w:rFonts w:hint="eastAsia" w:cs="Times New Roman"/>
                <w:spacing w:val="0"/>
                <w:position w:val="0"/>
                <w:lang w:val="en-US" w:eastAsia="zh-CN"/>
              </w:rPr>
              <w:t>2</w:t>
            </w:r>
            <w:r>
              <w:rPr>
                <w:rFonts w:ascii="Times New Roman" w:hAnsi="Times New Roman" w:cs="Times New Roman"/>
                <w:spacing w:val="0"/>
                <w:position w:val="0"/>
              </w:rPr>
              <w:t xml:space="preserve"> 下午</w:t>
            </w:r>
          </w:p>
          <w:p>
            <w:pPr>
              <w:pStyle w:val="17"/>
              <w:bidi w:val="0"/>
              <w:ind w:left="0"/>
              <w:jc w:val="both"/>
              <w:rPr>
                <w:rFonts w:ascii="Times New Roman" w:hAnsi="Times New Roman" w:cs="Times New Roman"/>
                <w:spacing w:val="0"/>
                <w:position w:val="0"/>
              </w:rPr>
            </w:pPr>
          </w:p>
        </w:tc>
        <w:tc>
          <w:tcPr>
            <w:tcW w:w="1157" w:type="pct"/>
            <w:vAlign w:val="center"/>
          </w:tcPr>
          <w:p>
            <w:pPr>
              <w:pStyle w:val="17"/>
              <w:bidi w:val="0"/>
              <w:ind w:left="0"/>
              <w:jc w:val="both"/>
              <w:rPr>
                <w:rFonts w:ascii="Times New Roman" w:hAnsi="Times New Roman" w:cs="Times New Roman"/>
                <w:b/>
                <w:bCs/>
                <w:spacing w:val="0"/>
                <w:position w:val="0"/>
              </w:rPr>
            </w:pPr>
            <w:r>
              <w:rPr>
                <w:rFonts w:ascii="Times New Roman" w:hAnsi="Times New Roman" w:cs="Times New Roman"/>
                <w:b/>
                <w:bCs/>
                <w:spacing w:val="0"/>
                <w:position w:val="0"/>
              </w:rPr>
              <w:t>资料抽查</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对原始票据、生产报表等资料进行抽样，验证被核查单位提供的数据和信息</w:t>
            </w:r>
          </w:p>
        </w:tc>
        <w:tc>
          <w:tcPr>
            <w:tcW w:w="1170" w:type="dxa"/>
            <w:vAlign w:val="center"/>
          </w:tcPr>
          <w:p>
            <w:pPr>
              <w:pStyle w:val="17"/>
              <w:bidi w:val="0"/>
              <w:rPr>
                <w:rFonts w:hint="eastAsia" w:ascii="Times New Roman" w:hAnsi="Times New Roman"/>
                <w:color w:val="000000"/>
                <w:kern w:val="0"/>
                <w:sz w:val="24"/>
              </w:rPr>
            </w:pPr>
            <w:r>
              <w:rPr>
                <w:rFonts w:hint="eastAsia" w:ascii="Times New Roman" w:hAnsi="Times New Roman"/>
                <w:color w:val="000000"/>
                <w:kern w:val="0"/>
                <w:sz w:val="24"/>
              </w:rPr>
              <w:t>沈贝萍</w:t>
            </w:r>
          </w:p>
          <w:p>
            <w:pPr>
              <w:pStyle w:val="17"/>
              <w:bidi w:val="0"/>
              <w:rPr>
                <w:rFonts w:hint="eastAsia"/>
                <w:highlight w:val="none"/>
              </w:rPr>
            </w:pPr>
            <w:r>
              <w:rPr>
                <w:rFonts w:hint="eastAsia"/>
                <w:highlight w:val="none"/>
              </w:rPr>
              <w:t>张涛</w:t>
            </w:r>
          </w:p>
          <w:p>
            <w:pPr>
              <w:pStyle w:val="17"/>
              <w:bidi w:val="0"/>
              <w:ind w:left="0" w:leftChars="0"/>
              <w:rPr>
                <w:rFonts w:ascii="Times New Roman" w:hAnsi="Times New Roman" w:cs="Times New Roman"/>
                <w:spacing w:val="0"/>
                <w:position w:val="0"/>
              </w:rPr>
            </w:pPr>
            <w:r>
              <w:rPr>
                <w:rFonts w:hint="eastAsia"/>
                <w:highlight w:val="none"/>
                <w:lang w:val="en-US" w:eastAsia="zh-CN"/>
              </w:rPr>
              <w:t>谢明芳</w:t>
            </w:r>
          </w:p>
        </w:tc>
        <w:tc>
          <w:tcPr>
            <w:tcW w:w="1183" w:type="dxa"/>
            <w:vAlign w:val="center"/>
          </w:tcPr>
          <w:p>
            <w:pPr>
              <w:pStyle w:val="17"/>
              <w:bidi w:val="0"/>
              <w:ind w:left="0" w:leftChars="0"/>
              <w:rPr>
                <w:rFonts w:ascii="Times New Roman" w:hAnsi="Times New Roman" w:cs="Times New Roman"/>
                <w:spacing w:val="0"/>
                <w:position w:val="0"/>
              </w:rPr>
            </w:pPr>
            <w:r>
              <w:rPr>
                <w:highlight w:val="none"/>
              </w:rPr>
              <w:t>行政人力 生产制造 资财管理</w:t>
            </w:r>
          </w:p>
        </w:tc>
        <w:tc>
          <w:tcPr>
            <w:tcW w:w="2078" w:type="pct"/>
            <w:vAlign w:val="center"/>
          </w:tcPr>
          <w:p>
            <w:pPr>
              <w:pStyle w:val="17"/>
              <w:bidi w:val="0"/>
              <w:ind w:left="0"/>
              <w:jc w:val="both"/>
              <w:rPr>
                <w:rFonts w:ascii="Times New Roman" w:hAnsi="Times New Roman" w:cs="Times New Roman"/>
                <w:spacing w:val="0"/>
                <w:position w:val="0"/>
              </w:rPr>
            </w:pP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-与碳排放相关物料和能源消费台账或生产记录；</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-与碳排放相关物料和能源消费结算凭证 (如购销单、发票；)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43" w:hRule="atLeast"/>
        </w:trPr>
        <w:tc>
          <w:tcPr>
            <w:tcW w:w="562" w:type="pct"/>
            <w:vMerge w:val="continue"/>
            <w:vAlign w:val="center"/>
          </w:tcPr>
          <w:p>
            <w:pPr>
              <w:pStyle w:val="17"/>
              <w:bidi w:val="0"/>
              <w:ind w:left="0"/>
              <w:jc w:val="both"/>
              <w:rPr>
                <w:rFonts w:ascii="Times New Roman" w:hAnsi="Times New Roman" w:cs="Times New Roman"/>
                <w:spacing w:val="0"/>
                <w:position w:val="0"/>
              </w:rPr>
            </w:pPr>
          </w:p>
        </w:tc>
        <w:tc>
          <w:tcPr>
            <w:tcW w:w="1157" w:type="pct"/>
            <w:vAlign w:val="center"/>
          </w:tcPr>
          <w:p>
            <w:pPr>
              <w:pStyle w:val="17"/>
              <w:bidi w:val="0"/>
              <w:ind w:left="0"/>
              <w:jc w:val="both"/>
              <w:rPr>
                <w:rFonts w:ascii="Times New Roman" w:hAnsi="Times New Roman" w:cs="Times New Roman"/>
                <w:b/>
                <w:bCs/>
                <w:spacing w:val="0"/>
                <w:position w:val="0"/>
              </w:rPr>
            </w:pPr>
            <w:r>
              <w:rPr>
                <w:rFonts w:ascii="Times New Roman" w:hAnsi="Times New Roman" w:cs="Times New Roman"/>
                <w:b/>
                <w:bCs/>
                <w:spacing w:val="0"/>
                <w:position w:val="0"/>
              </w:rPr>
              <w:t>总结会议</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双方确认需事后提交的资料清单、核查发现、排放报告需要修改的内容，并对核查工作进行总结</w:t>
            </w:r>
          </w:p>
        </w:tc>
        <w:tc>
          <w:tcPr>
            <w:tcW w:w="1170" w:type="dxa"/>
            <w:vAlign w:val="center"/>
          </w:tcPr>
          <w:p>
            <w:pPr>
              <w:pStyle w:val="17"/>
              <w:bidi w:val="0"/>
              <w:rPr>
                <w:rFonts w:hint="eastAsia" w:ascii="Times New Roman" w:hAnsi="Times New Roman"/>
                <w:color w:val="000000"/>
                <w:kern w:val="0"/>
                <w:sz w:val="24"/>
              </w:rPr>
            </w:pPr>
            <w:r>
              <w:rPr>
                <w:rFonts w:hint="eastAsia" w:ascii="Times New Roman" w:hAnsi="Times New Roman"/>
                <w:color w:val="000000"/>
                <w:kern w:val="0"/>
                <w:sz w:val="24"/>
              </w:rPr>
              <w:t>沈贝萍</w:t>
            </w:r>
          </w:p>
          <w:p>
            <w:pPr>
              <w:pStyle w:val="17"/>
              <w:bidi w:val="0"/>
              <w:rPr>
                <w:rFonts w:hint="eastAsia"/>
                <w:highlight w:val="none"/>
              </w:rPr>
            </w:pPr>
            <w:r>
              <w:rPr>
                <w:rFonts w:hint="eastAsia"/>
                <w:highlight w:val="none"/>
              </w:rPr>
              <w:t>张涛</w:t>
            </w:r>
          </w:p>
          <w:p>
            <w:pPr>
              <w:pStyle w:val="17"/>
              <w:bidi w:val="0"/>
              <w:ind w:left="0" w:leftChars="0"/>
              <w:rPr>
                <w:rFonts w:ascii="Times New Roman" w:hAnsi="Times New Roman" w:cs="Times New Roman"/>
                <w:spacing w:val="0"/>
                <w:position w:val="0"/>
              </w:rPr>
            </w:pPr>
            <w:r>
              <w:rPr>
                <w:rFonts w:hint="eastAsia"/>
                <w:highlight w:val="none"/>
                <w:lang w:val="en-US" w:eastAsia="zh-CN"/>
              </w:rPr>
              <w:t>谢明芳</w:t>
            </w:r>
          </w:p>
        </w:tc>
        <w:tc>
          <w:tcPr>
            <w:tcW w:w="1183" w:type="dxa"/>
            <w:vAlign w:val="center"/>
          </w:tcPr>
          <w:p>
            <w:pPr>
              <w:pStyle w:val="17"/>
              <w:bidi w:val="0"/>
              <w:ind w:left="0" w:leftChars="0"/>
              <w:rPr>
                <w:rFonts w:ascii="Times New Roman" w:hAnsi="Times New Roman" w:cs="Times New Roman"/>
                <w:spacing w:val="0"/>
                <w:position w:val="0"/>
              </w:rPr>
            </w:pPr>
            <w:r>
              <w:rPr>
                <w:highlight w:val="none"/>
              </w:rPr>
              <w:t>行政人力 生产制造 资财管理</w:t>
            </w:r>
          </w:p>
        </w:tc>
        <w:tc>
          <w:tcPr>
            <w:tcW w:w="2078" w:type="pct"/>
            <w:vAlign w:val="center"/>
          </w:tcPr>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-与受核查方确认企业需要提交的资料清单；</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-将核查过程中发现的不符合项，并确定整改时间；</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-确定修改后的《排放报告 (终版</w:t>
            </w:r>
            <w:r>
              <w:rPr>
                <w:rFonts w:ascii="Times New Roman" w:hAnsi="Times New Roman" w:cs="Times New Roman"/>
                <w:spacing w:val="0"/>
                <w:position w:val="0"/>
              </w:rPr>
              <w:drawing>
                <wp:inline distT="0" distB="0" distL="0" distR="0">
                  <wp:extent cx="62230" cy="13208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r:embed="rId36"/>
                          <a:stretch>
                            <a:fillRect/>
                          </a:stretch>
                        </pic:blipFill>
                        <pic:spPr>
                          <a:xfrm>
                            <a:off x="0" y="0"/>
                            <a:ext cx="62484" cy="132588"/>
                          </a:xfrm>
                          <a:prstGeom prst="rect">
                            <a:avLst/>
                          </a:prstGeom>
                        </pic:spPr>
                      </pic:pic>
                    </a:graphicData>
                  </a:graphic>
                </wp:inline>
              </w:drawing>
            </w:r>
            <w:r>
              <w:rPr>
                <w:rFonts w:ascii="Times New Roman" w:hAnsi="Times New Roman" w:cs="Times New Roman"/>
                <w:spacing w:val="0"/>
                <w:position w:val="0"/>
              </w:rPr>
              <w:t>提交时间；</w:t>
            </w:r>
          </w:p>
          <w:p>
            <w:pPr>
              <w:pStyle w:val="17"/>
              <w:bidi w:val="0"/>
              <w:ind w:left="0"/>
              <w:jc w:val="both"/>
              <w:rPr>
                <w:rFonts w:ascii="Times New Roman" w:hAnsi="Times New Roman" w:cs="Times New Roman"/>
                <w:spacing w:val="0"/>
                <w:position w:val="0"/>
              </w:rPr>
            </w:pPr>
            <w:r>
              <w:rPr>
                <w:rFonts w:ascii="Times New Roman" w:hAnsi="Times New Roman" w:cs="Times New Roman"/>
                <w:spacing w:val="0"/>
                <w:position w:val="0"/>
              </w:rPr>
              <w:t>-确定最终的温室气体排放量。</w:t>
            </w:r>
          </w:p>
        </w:tc>
      </w:tr>
    </w:tbl>
    <w:p>
      <w:pPr>
        <w:pStyle w:val="4"/>
        <w:keepNext/>
        <w:keepLines/>
        <w:pageBreakBefore w:val="0"/>
        <w:widowControl/>
        <w:kinsoku/>
        <w:wordWrap/>
        <w:overflowPunct/>
        <w:topLinePunct w:val="0"/>
        <w:autoSpaceDE/>
        <w:autoSpaceDN/>
        <w:bidi w:val="0"/>
        <w:adjustRightInd/>
        <w:snapToGrid/>
        <w:spacing w:before="100"/>
        <w:textAlignment w:val="auto"/>
      </w:pPr>
      <w:bookmarkStart w:id="17" w:name="_bookmark10"/>
      <w:bookmarkEnd w:id="17"/>
      <w:bookmarkStart w:id="18" w:name="_Toc13455"/>
      <w:r>
        <w:t>2.4</w:t>
      </w:r>
      <w:r>
        <w:rPr>
          <w:rFonts w:hint="eastAsia"/>
          <w:lang w:val="en-US" w:eastAsia="zh-CN"/>
        </w:rPr>
        <w:t xml:space="preserve">  </w:t>
      </w:r>
      <w:r>
        <w:t>核查报告编写及内部技术复核</w:t>
      </w:r>
      <w:bookmarkEnd w:id="18"/>
    </w:p>
    <w:p>
      <w:pPr>
        <w:pStyle w:val="8"/>
        <w:bidi w:val="0"/>
      </w:pPr>
      <w:r>
        <w:rPr>
          <w:highlight w:val="none"/>
        </w:rPr>
        <w:t>依据《</w:t>
      </w:r>
      <w:r>
        <w:rPr>
          <w:rFonts w:hint="eastAsia"/>
          <w:highlight w:val="none"/>
          <w:lang w:eastAsia="zh-CN"/>
        </w:rPr>
        <w:t>机械设备制造企业温室气体排放核算方法与报告指南（试行）</w:t>
      </w:r>
      <w:r>
        <w:rPr>
          <w:highlight w:val="none"/>
        </w:rPr>
        <w:t>》，</w:t>
      </w:r>
      <w:r>
        <w:t>结合文件评审和现场核查的综合结果对受核查方编制核查报告。核查组</w:t>
      </w:r>
      <w:r>
        <w:rPr>
          <w:highlight w:val="none"/>
        </w:rPr>
        <w:t>于202</w:t>
      </w:r>
      <w:r>
        <w:rPr>
          <w:rFonts w:hint="eastAsia"/>
          <w:highlight w:val="none"/>
          <w:lang w:val="en-US" w:eastAsia="zh-CN"/>
        </w:rPr>
        <w:t>3</w:t>
      </w:r>
      <w:r>
        <w:rPr>
          <w:highlight w:val="none"/>
        </w:rPr>
        <w:t>年</w:t>
      </w:r>
      <w:r>
        <w:rPr>
          <w:rFonts w:hint="eastAsia"/>
          <w:highlight w:val="none"/>
          <w:lang w:val="en-US" w:eastAsia="zh-CN"/>
        </w:rPr>
        <w:t>2</w:t>
      </w:r>
      <w:r>
        <w:rPr>
          <w:highlight w:val="none"/>
        </w:rPr>
        <w:t>月</w:t>
      </w:r>
      <w:r>
        <w:rPr>
          <w:rFonts w:hint="eastAsia"/>
          <w:highlight w:val="none"/>
          <w:lang w:val="en-US" w:eastAsia="zh-CN"/>
        </w:rPr>
        <w:t>22</w:t>
      </w:r>
      <w:r>
        <w:rPr>
          <w:highlight w:val="none"/>
        </w:rPr>
        <w:t>日</w:t>
      </w:r>
      <w:r>
        <w:t>对受核查方进行现场核查，向受核查方开具0个不符合项，核查组完成核查报告。</w:t>
      </w:r>
    </w:p>
    <w:p>
      <w:pPr>
        <w:pStyle w:val="8"/>
        <w:bidi w:val="0"/>
      </w:pPr>
      <w:r>
        <w:t>根据杭州申乾裕内部管理程序，本核查报告</w:t>
      </w:r>
      <w:r>
        <w:rPr>
          <w:highlight w:val="none"/>
        </w:rPr>
        <w:t>于202</w:t>
      </w:r>
      <w:r>
        <w:rPr>
          <w:rFonts w:hint="eastAsia"/>
          <w:highlight w:val="none"/>
          <w:lang w:val="en-US" w:eastAsia="zh-CN"/>
        </w:rPr>
        <w:t>3</w:t>
      </w:r>
      <w:r>
        <w:rPr>
          <w:highlight w:val="none"/>
        </w:rPr>
        <w:t>年</w:t>
      </w:r>
      <w:r>
        <w:rPr>
          <w:rFonts w:hint="eastAsia"/>
          <w:highlight w:val="none"/>
          <w:lang w:val="en-US" w:eastAsia="zh-CN"/>
        </w:rPr>
        <w:t>2</w:t>
      </w:r>
      <w:r>
        <w:rPr>
          <w:highlight w:val="none"/>
        </w:rPr>
        <w:t>月</w:t>
      </w:r>
      <w:r>
        <w:rPr>
          <w:rFonts w:hint="eastAsia"/>
          <w:highlight w:val="none"/>
          <w:lang w:val="en-US" w:eastAsia="zh-CN"/>
        </w:rPr>
        <w:t>23</w:t>
      </w:r>
      <w:r>
        <w:rPr>
          <w:highlight w:val="none"/>
        </w:rPr>
        <w:t>日</w:t>
      </w:r>
      <w:r>
        <w:t>提交给技术复核人员，根据杭州申乾裕工作程序执行报告复核，待技术复核无误后提交给项目负责人批准。</w:t>
      </w:r>
    </w:p>
    <w:p>
      <w:r>
        <w:br w:type="page"/>
      </w:r>
    </w:p>
    <w:p>
      <w:pPr>
        <w:pStyle w:val="2"/>
        <w:bidi w:val="0"/>
      </w:pPr>
      <w:bookmarkStart w:id="19" w:name="_Toc25982"/>
      <w:r>
        <w:t>第三章核查发现</w:t>
      </w:r>
      <w:bookmarkEnd w:id="19"/>
    </w:p>
    <w:p>
      <w:pPr>
        <w:pStyle w:val="4"/>
        <w:keepNext/>
        <w:keepLines/>
        <w:pageBreakBefore w:val="0"/>
        <w:widowControl/>
        <w:kinsoku/>
        <w:wordWrap/>
        <w:overflowPunct/>
        <w:topLinePunct w:val="0"/>
        <w:autoSpaceDE/>
        <w:autoSpaceDN/>
        <w:bidi w:val="0"/>
        <w:adjustRightInd/>
        <w:snapToGrid/>
        <w:spacing w:line="360" w:lineRule="auto"/>
        <w:textAlignment w:val="auto"/>
      </w:pPr>
      <w:bookmarkStart w:id="20" w:name="_bookmark11"/>
      <w:bookmarkEnd w:id="20"/>
      <w:bookmarkStart w:id="21" w:name="_Toc15293"/>
      <w:r>
        <w:t>3.1</w:t>
      </w:r>
      <w:r>
        <w:rPr>
          <w:rFonts w:hint="eastAsia"/>
          <w:lang w:val="en-US" w:eastAsia="zh-CN"/>
        </w:rPr>
        <w:t xml:space="preserve">  </w:t>
      </w:r>
      <w:r>
        <w:t>重点排放单位基本情况的核查</w:t>
      </w:r>
      <w:bookmarkEnd w:id="21"/>
    </w:p>
    <w:p>
      <w:pPr>
        <w:pStyle w:val="5"/>
        <w:keepNext/>
        <w:keepLines/>
        <w:pageBreakBefore w:val="0"/>
        <w:widowControl/>
        <w:kinsoku/>
        <w:wordWrap/>
        <w:overflowPunct/>
        <w:topLinePunct w:val="0"/>
        <w:autoSpaceDE/>
        <w:autoSpaceDN/>
        <w:bidi w:val="0"/>
        <w:adjustRightInd/>
        <w:snapToGrid/>
        <w:spacing w:line="360" w:lineRule="auto"/>
        <w:textAlignment w:val="auto"/>
      </w:pPr>
      <w:bookmarkStart w:id="22" w:name="_bookmark12"/>
      <w:bookmarkEnd w:id="22"/>
      <w:bookmarkStart w:id="23" w:name="_Toc19784"/>
      <w:r>
        <w:t>3.1.1基本信息</w:t>
      </w:r>
      <w:bookmarkEnd w:id="23"/>
    </w:p>
    <w:p>
      <w:pPr>
        <w:pStyle w:val="8"/>
        <w:bidi w:val="0"/>
      </w:pPr>
      <w:r>
        <w:t>核查组对《排放报告》中的企业基本信息进行了核查，通过查阅受核查方的《营业执照》等相关信息，并与受核查方代表进行交流访谈，确认如下信息：</w:t>
      </w:r>
    </w:p>
    <w:p>
      <w:pPr>
        <w:pStyle w:val="8"/>
        <w:bidi w:val="0"/>
      </w:pPr>
      <w:r>
        <w:t>受核查方名称：</w:t>
      </w:r>
      <w:r>
        <w:rPr>
          <w:rFonts w:hint="eastAsia"/>
        </w:rPr>
        <w:t>浙江群展</w:t>
      </w:r>
      <w:r>
        <w:t>精密紧固件股份有限公司</w:t>
      </w:r>
    </w:p>
    <w:p>
      <w:pPr>
        <w:pStyle w:val="8"/>
        <w:bidi w:val="0"/>
      </w:pPr>
      <w:r>
        <w:t>统一社会信用代码：</w:t>
      </w:r>
      <w:r>
        <w:rPr>
          <w:rFonts w:hint="eastAsia" w:ascii="Times New Roman" w:hAnsi="Times New Roman"/>
          <w:color w:val="000000"/>
          <w:kern w:val="0"/>
          <w:sz w:val="24"/>
        </w:rPr>
        <w:t>91330421576537433C</w:t>
      </w:r>
    </w:p>
    <w:p>
      <w:pPr>
        <w:pStyle w:val="8"/>
        <w:bidi w:val="0"/>
      </w:pPr>
      <w:r>
        <w:t>所属行业领域及行业代码：</w:t>
      </w:r>
      <w:r>
        <w:rPr>
          <w:rFonts w:hint="eastAsia"/>
        </w:rPr>
        <w:t>紧固件</w:t>
      </w:r>
      <w:r>
        <w:t>制造</w:t>
      </w:r>
    </w:p>
    <w:p>
      <w:pPr>
        <w:pStyle w:val="8"/>
        <w:bidi w:val="0"/>
        <w:rPr>
          <w:rFonts w:hint="eastAsia" w:ascii="Times New Roman" w:hAnsi="Times New Roman"/>
          <w:color w:val="000000"/>
          <w:kern w:val="0"/>
          <w:sz w:val="24"/>
        </w:rPr>
      </w:pPr>
      <w:r>
        <w:t>成立时间：</w:t>
      </w:r>
      <w:r>
        <w:rPr>
          <w:rFonts w:hint="eastAsia" w:ascii="Times New Roman" w:hAnsi="Times New Roman"/>
          <w:color w:val="000000"/>
          <w:kern w:val="0"/>
          <w:sz w:val="24"/>
        </w:rPr>
        <w:t>2011年6月17日</w:t>
      </w:r>
    </w:p>
    <w:p>
      <w:pPr>
        <w:pStyle w:val="8"/>
        <w:bidi w:val="0"/>
        <w:rPr>
          <w:rFonts w:hint="eastAsia"/>
        </w:rPr>
      </w:pPr>
      <w:r>
        <w:t>单位性质：民营</w:t>
      </w:r>
    </w:p>
    <w:p>
      <w:pPr>
        <w:pStyle w:val="8"/>
        <w:bidi w:val="0"/>
        <w:rPr>
          <w:rFonts w:hint="eastAsia"/>
        </w:rPr>
      </w:pPr>
      <w:r>
        <w:rPr>
          <w:rFonts w:hint="eastAsia"/>
        </w:rPr>
        <w:t>实际地理位置见下图：浙江省嘉善县干窑镇庄驰中路8号</w:t>
      </w:r>
    </w:p>
    <w:p>
      <w:pPr>
        <w:pStyle w:val="8"/>
        <w:bidi w:val="0"/>
        <w:rPr>
          <w:rFonts w:hint="eastAsia"/>
        </w:rPr>
      </w:pPr>
      <w:r>
        <w:t>法定代表人：</w:t>
      </w:r>
      <w:r>
        <w:rPr>
          <w:rFonts w:hint="eastAsia"/>
        </w:rPr>
        <w:t>杨荣德</w:t>
      </w:r>
    </w:p>
    <w:p>
      <w:pPr>
        <w:pStyle w:val="8"/>
        <w:bidi w:val="0"/>
        <w:rPr>
          <w:rFonts w:hint="eastAsia" w:eastAsia="宋体"/>
          <w:highlight w:val="yellow"/>
          <w:lang w:eastAsia="zh-CN"/>
        </w:rPr>
      </w:pPr>
      <w:r>
        <w:t>排放报告联系人：</w:t>
      </w:r>
      <w:r>
        <w:rPr>
          <w:rFonts w:hint="eastAsia"/>
        </w:rPr>
        <w:t>沈贝萍</w:t>
      </w:r>
    </w:p>
    <w:p>
      <w:pPr>
        <w:pStyle w:val="8"/>
        <w:bidi w:val="0"/>
      </w:pPr>
      <w:r>
        <w:t>员工人数：</w:t>
      </w:r>
      <w:r>
        <w:rPr>
          <w:rFonts w:hint="eastAsia"/>
          <w:lang w:val="en-US" w:eastAsia="zh-CN"/>
        </w:rPr>
        <w:t>280</w:t>
      </w:r>
      <w:r>
        <w:t>人</w:t>
      </w:r>
    </w:p>
    <w:p>
      <w:pPr>
        <w:pStyle w:val="8"/>
        <w:bidi w:val="0"/>
        <w:rPr>
          <w:rFonts w:hint="default" w:eastAsia="宋体"/>
          <w:highlight w:val="none"/>
          <w:lang w:val="en-US" w:eastAsia="zh-CN"/>
        </w:rPr>
      </w:pPr>
      <w:r>
        <w:t>主要用能种类：</w:t>
      </w:r>
      <w:r>
        <w:rPr>
          <w:highlight w:val="none"/>
        </w:rPr>
        <w:t>电力</w:t>
      </w:r>
      <w:r>
        <w:rPr>
          <w:rFonts w:hint="eastAsia"/>
          <w:highlight w:val="none"/>
          <w:lang w:eastAsia="zh-CN"/>
        </w:rPr>
        <w:t>、</w:t>
      </w:r>
      <w:r>
        <w:rPr>
          <w:rFonts w:hint="eastAsia"/>
          <w:highlight w:val="none"/>
          <w:lang w:val="en-US" w:eastAsia="zh-CN"/>
        </w:rPr>
        <w:t>天然气</w:t>
      </w:r>
    </w:p>
    <w:p>
      <w:pPr>
        <w:pStyle w:val="8"/>
        <w:bidi w:val="0"/>
      </w:pPr>
      <w:r>
        <w:rPr>
          <w:highlight w:val="none"/>
        </w:rPr>
        <w:t>受核查方的组织机构见下图</w:t>
      </w:r>
      <w:r>
        <w:t>。</w:t>
      </w:r>
    </w:p>
    <w:p>
      <w:pPr>
        <w:spacing w:line="266" w:lineRule="auto"/>
      </w:pPr>
    </w:p>
    <w:p>
      <w:pPr>
        <w:pStyle w:val="17"/>
        <w:bidi w:val="0"/>
      </w:pPr>
      <w:r>
        <w:drawing>
          <wp:inline distT="0" distB="0" distL="114300" distR="114300">
            <wp:extent cx="6182995" cy="4270375"/>
            <wp:effectExtent l="0" t="0" r="8255" b="15875"/>
            <wp:docPr id="8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 name="图片 1"/>
                    <pic:cNvPicPr>
                      <a:picLocks noChangeAspect="1"/>
                    </pic:cNvPicPr>
                  </pic:nvPicPr>
                  <pic:blipFill>
                    <a:blip r:embed="rId37"/>
                    <a:stretch>
                      <a:fillRect/>
                    </a:stretch>
                  </pic:blipFill>
                  <pic:spPr>
                    <a:xfrm>
                      <a:off x="0" y="0"/>
                      <a:ext cx="6182995" cy="4270375"/>
                    </a:xfrm>
                    <a:prstGeom prst="rect">
                      <a:avLst/>
                    </a:prstGeom>
                    <a:noFill/>
                    <a:ln>
                      <a:noFill/>
                    </a:ln>
                  </pic:spPr>
                </pic:pic>
              </a:graphicData>
            </a:graphic>
          </wp:inline>
        </w:drawing>
      </w:r>
    </w:p>
    <w:p>
      <w:pPr>
        <w:pStyle w:val="7"/>
        <w:bidi w:val="0"/>
      </w:pPr>
      <w:r>
        <w:t>图3-1  企业地理位置</w:t>
      </w:r>
    </w:p>
    <w:p>
      <w:pPr>
        <w:pStyle w:val="17"/>
        <w:bidi w:val="0"/>
      </w:pPr>
      <w:r>
        <w:drawing>
          <wp:inline distT="0" distB="0" distL="114300" distR="114300">
            <wp:extent cx="4467225" cy="4143375"/>
            <wp:effectExtent l="0" t="0" r="9525" b="952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38"/>
                    <a:stretch>
                      <a:fillRect/>
                    </a:stretch>
                  </pic:blipFill>
                  <pic:spPr>
                    <a:xfrm>
                      <a:off x="0" y="0"/>
                      <a:ext cx="4467225" cy="4143375"/>
                    </a:xfrm>
                    <a:prstGeom prst="rect">
                      <a:avLst/>
                    </a:prstGeom>
                    <a:noFill/>
                    <a:ln>
                      <a:noFill/>
                    </a:ln>
                  </pic:spPr>
                </pic:pic>
              </a:graphicData>
            </a:graphic>
          </wp:inline>
        </w:drawing>
      </w:r>
    </w:p>
    <w:p>
      <w:pPr>
        <w:pStyle w:val="7"/>
        <w:bidi w:val="0"/>
      </w:pPr>
      <w:r>
        <w:t>图3-2  组织构架图</w:t>
      </w:r>
      <w:bookmarkStart w:id="24" w:name="_bookmark13"/>
      <w:bookmarkEnd w:id="24"/>
    </w:p>
    <w:p>
      <w:pPr>
        <w:pStyle w:val="5"/>
        <w:bidi w:val="0"/>
        <w:rPr>
          <w:highlight w:val="none"/>
        </w:rPr>
      </w:pPr>
      <w:bookmarkStart w:id="25" w:name="_Toc11646"/>
      <w:r>
        <w:rPr>
          <w:highlight w:val="none"/>
        </w:rPr>
        <w:t>3.1.2主要生产运营系统</w:t>
      </w:r>
      <w:bookmarkEnd w:id="25"/>
    </w:p>
    <w:p>
      <w:pPr>
        <w:pStyle w:val="8"/>
        <w:bidi w:val="0"/>
        <w:rPr>
          <w:rFonts w:hint="eastAsia"/>
          <w:lang w:val="en-US" w:eastAsia="zh-CN"/>
        </w:rPr>
      </w:pPr>
      <w:r>
        <w:rPr>
          <w:rFonts w:hint="eastAsia"/>
          <w:lang w:val="en-US" w:eastAsia="zh-CN"/>
        </w:rPr>
        <w:t>群展主要生产</w:t>
      </w:r>
      <w:r>
        <w:rPr>
          <w:rFonts w:hint="eastAsia"/>
          <w:lang w:eastAsia="zh-CN"/>
        </w:rPr>
        <w:t>紧固件螺栓</w:t>
      </w:r>
      <w:r>
        <w:rPr>
          <w:rFonts w:hint="eastAsia"/>
          <w:lang w:val="en-US" w:eastAsia="zh-CN"/>
        </w:rPr>
        <w:t>。产品生产主要包括成型、碾牙、去磷、热处理、表面处理等工序。</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1）成型、辗牙：产品生产时，按产品规格要求，将线材在成型机内截断、成型，然后经辗牙机攻牙后，送去磷工序。</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 xml:space="preserve">2）去磷：由于产品强度要求较高，热处理前设一条去磷线，以去除表面油污。去磷线具体生产工序：紧固件→前清洗→除磷→后清洗→出料。   </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 xml:space="preserve"> ①前清洗：前清洗的作用是去除紧固件表面的油污等。前洗涤工序操作温度为 50～80℃。槽液配方：FC-346S 粉剂 5～15g/l（FC-346S 粉剂主要由偏硅酸钠、三聚磷酸钠、聚氧乙烯醚、表面活性剂组成） 。 </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②除磷：除磷的作用是去除紧固件表面的磷酸盐皮膜。除磷工序操作温度50～80℃。槽液配方：FC-4345S-1粉剂60～100g/l（FC-4345S-1 粉剂由氢氧化钠、螯合剂、有机酸盐组成）、FC-4345L-2 液剂 20~40g/l（FC-4345L-2 液剂由氢氧化钠、表面活性剂组成）。</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③后清洗：后清洗的作用是用水清除紧固件表面的化学药剂。</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3）热处理：为了提高紧固件的综合力学性能，以满足产品规定的抗拉强度和屈强比，经过成型、碾牙、去磷后的毛坯件需进行热处理。热处理采用连续式热处理线，主要包括淬火、回火等几道工序，具体工序过程：辗牙→热水洗→加温渗碳→淬火→热水洗→回火。</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 xml:space="preserve">a、热水洗：紧固件在进行热处理前需先用热水进行清洗，以清洁紧固件表面油污。清洗热水经油水分离器进行分离，分离出油集中回收，热水进行重新循环使用。 </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b、加温渗碳：紧固件在加温炉内加温，然后加入液化气、甲醇等进行渗碳处理，以改变紧固件的性能。热处理采用电加热方式，加热温度根据紧固件大小、材质、产品要求不同而有所不同，温度一般控制在860℃左右。</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 xml:space="preserve">c、淬火：采用淬火油进行淬火，淬火油长期使用后，会出现冷却性能降低的现象，其主要原因热处理油使用时会发生热分解或热聚合、淬火油与空气接触发生氧化和聚合、在冷却时零件带入一些杂质、氧化物、污染物。为保持热处理油有良好的冷却能力，设热处理油循环系统，热处理油经过滤处理去除杂质后，进行循环利用。公司需定期补充新油，热处理油温控制在65℃。 </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 xml:space="preserve">d、热水洗：紧固件经油淬火后，在进入回火炉前需用热水进行清洗。清洗热水经油水分离器进行分离，分离出油集中回收，热水进行重新循环使用。 </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e、回火：经热水清洗后紧固件放入回火炉中，通过电加热至300℃左右，保温50～60分钟，然后取出用风冷方式进行冷却，回火过程不加入其他物质。</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4）电镀：热处理后的紧固件毛坯件根据产品要求进行电镀处理，配套两条全自动滚镀镀锌线。</w:t>
      </w:r>
    </w:p>
    <w:p>
      <w:pPr>
        <w:pStyle w:val="15"/>
        <w:bidi w:val="0"/>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5）分检、包装：紧固件产品加工完成后需进行分检，分检主要包括硬度、表面粗度等的检测，以确保出厂产品合格率。产品经分检合格后进行按规格包装出厂。</w:t>
      </w:r>
    </w:p>
    <w:p>
      <w:pPr>
        <w:pStyle w:val="8"/>
        <w:bidi w:val="0"/>
        <w:rPr>
          <w:rFonts w:hint="eastAsia"/>
        </w:rPr>
      </w:pPr>
    </w:p>
    <w:p>
      <w:pPr>
        <w:pStyle w:val="17"/>
        <w:bidi w:val="0"/>
        <w:rPr>
          <w:rFonts w:hint="eastAsia"/>
        </w:rPr>
      </w:pPr>
      <w:r>
        <w:drawing>
          <wp:inline distT="0" distB="0" distL="114300" distR="114300">
            <wp:extent cx="5280025" cy="2131695"/>
            <wp:effectExtent l="0" t="0" r="0" b="190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39"/>
                    <a:stretch>
                      <a:fillRect/>
                    </a:stretch>
                  </pic:blipFill>
                  <pic:spPr>
                    <a:xfrm>
                      <a:off x="0" y="0"/>
                      <a:ext cx="5280025" cy="2131695"/>
                    </a:xfrm>
                    <a:prstGeom prst="rect">
                      <a:avLst/>
                    </a:prstGeom>
                    <a:noFill/>
                    <a:ln>
                      <a:noFill/>
                    </a:ln>
                  </pic:spPr>
                </pic:pic>
              </a:graphicData>
            </a:graphic>
          </wp:inline>
        </w:drawing>
      </w:r>
    </w:p>
    <w:p>
      <w:pPr>
        <w:pStyle w:val="7"/>
        <w:bidi w:val="0"/>
        <w:rPr>
          <w:rFonts w:hint="eastAsia"/>
        </w:rPr>
      </w:pPr>
      <w:r>
        <w:rPr>
          <w:rFonts w:hint="eastAsia"/>
        </w:rPr>
        <w:t>图</w:t>
      </w:r>
      <w:r>
        <w:rPr>
          <w:rFonts w:hint="eastAsia"/>
          <w:lang w:val="en-US" w:eastAsia="zh-CN"/>
        </w:rPr>
        <w:t>3-3</w:t>
      </w:r>
      <w:r>
        <w:rPr>
          <w:rFonts w:hint="eastAsia"/>
        </w:rPr>
        <w:t xml:space="preserve"> 生产工艺流程图</w:t>
      </w:r>
    </w:p>
    <w:p>
      <w:pPr>
        <w:pStyle w:val="8"/>
        <w:bidi w:val="0"/>
        <w:rPr>
          <w:rFonts w:hint="eastAsia"/>
          <w:color w:val="auto"/>
          <w:lang w:val="en-US" w:eastAsia="zh-CN"/>
        </w:rPr>
      </w:pPr>
      <w:r>
        <w:rPr>
          <w:rFonts w:hint="eastAsia"/>
        </w:rPr>
        <w:t>主要设备的选择是根据产品要求、工艺优化、生产水平和工程建设条件等因素确定，</w:t>
      </w:r>
      <w:r>
        <w:rPr>
          <w:rFonts w:hint="eastAsia"/>
          <w:color w:val="auto"/>
        </w:rPr>
        <w:t>公司生产使用的专用设备主要为</w:t>
      </w:r>
      <w:r>
        <w:rPr>
          <w:rFonts w:hint="eastAsia"/>
          <w:color w:val="auto"/>
          <w:lang w:val="en-US" w:eastAsia="zh-CN"/>
        </w:rPr>
        <w:t>螺丝成型机、螺母成型机、高速碾压机</w:t>
      </w:r>
      <w:r>
        <w:rPr>
          <w:rFonts w:hint="eastAsia"/>
          <w:color w:val="auto"/>
        </w:rPr>
        <w:t>等。</w:t>
      </w:r>
      <w:r>
        <w:rPr>
          <w:rFonts w:hint="eastAsia"/>
          <w:color w:val="auto"/>
          <w:lang w:val="en-US" w:eastAsia="zh-CN"/>
        </w:rPr>
        <w:t>公司使用的设备主体上较先进。</w:t>
      </w:r>
      <w:r>
        <w:rPr>
          <w:rFonts w:hint="eastAsia"/>
        </w:rPr>
        <w:t>主要生产设备引进领先水平、自动化控制高、生产效率高、能耗低的设备</w:t>
      </w:r>
      <w:r>
        <w:rPr>
          <w:rFonts w:hint="eastAsia"/>
          <w:lang w:eastAsia="zh-CN"/>
        </w:rPr>
        <w:t>。</w:t>
      </w:r>
      <w:r>
        <w:rPr>
          <w:rFonts w:hint="eastAsia"/>
          <w:color w:val="auto"/>
          <w:lang w:eastAsia="zh-CN"/>
        </w:rPr>
        <w:t>以下列出为</w:t>
      </w:r>
      <w:r>
        <w:rPr>
          <w:rFonts w:hint="eastAsia"/>
          <w:color w:val="auto"/>
          <w:lang w:val="en-US" w:eastAsia="zh-CN"/>
        </w:rPr>
        <w:t>主要耗能设备。</w:t>
      </w:r>
    </w:p>
    <w:tbl>
      <w:tblPr>
        <w:tblStyle w:val="13"/>
        <w:tblW w:w="4958" w:type="pct"/>
        <w:tblInd w:w="0" w:type="dxa"/>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Layout w:type="fixed"/>
        <w:tblCellMar>
          <w:top w:w="0" w:type="dxa"/>
          <w:left w:w="108" w:type="dxa"/>
          <w:bottom w:w="0" w:type="dxa"/>
          <w:right w:w="108" w:type="dxa"/>
        </w:tblCellMar>
      </w:tblPr>
      <w:tblGrid>
        <w:gridCol w:w="2567"/>
        <w:gridCol w:w="1748"/>
        <w:gridCol w:w="1722"/>
        <w:gridCol w:w="1913"/>
        <w:gridCol w:w="1913"/>
      </w:tblGrid>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shd w:val="clear" w:color="auto" w:fill="DCE6F2" w:themeFill="accent1" w:themeFillTint="32"/>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序号</w:t>
            </w:r>
          </w:p>
        </w:tc>
        <w:tc>
          <w:tcPr>
            <w:tcW w:w="1741" w:type="dxa"/>
            <w:tcBorders>
              <w:top w:val="single" w:color="000000" w:sz="8" w:space="0"/>
              <w:left w:val="single" w:color="000000" w:sz="8" w:space="0"/>
              <w:bottom w:val="single" w:color="000000" w:sz="8" w:space="0"/>
              <w:right w:val="single" w:color="000000" w:sz="8" w:space="0"/>
            </w:tcBorders>
            <w:shd w:val="clear" w:color="auto" w:fill="DCE6F2" w:themeFill="accent1" w:themeFillTint="32"/>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设备名称</w:t>
            </w:r>
          </w:p>
        </w:tc>
        <w:tc>
          <w:tcPr>
            <w:tcW w:w="1715" w:type="dxa"/>
            <w:tcBorders>
              <w:top w:val="single" w:color="000000" w:sz="8" w:space="0"/>
              <w:left w:val="single" w:color="000000" w:sz="8" w:space="0"/>
              <w:bottom w:val="single" w:color="000000" w:sz="8" w:space="0"/>
              <w:right w:val="single" w:color="000000" w:sz="8" w:space="0"/>
            </w:tcBorders>
            <w:shd w:val="clear" w:color="auto" w:fill="DCE6F2" w:themeFill="accent1" w:themeFillTint="32"/>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型号或规格</w:t>
            </w:r>
          </w:p>
        </w:tc>
        <w:tc>
          <w:tcPr>
            <w:tcW w:w="1905" w:type="dxa"/>
            <w:tcBorders>
              <w:top w:val="single" w:color="000000" w:sz="8" w:space="0"/>
              <w:left w:val="single" w:color="000000" w:sz="8" w:space="0"/>
              <w:bottom w:val="single" w:color="000000" w:sz="8" w:space="0"/>
              <w:right w:val="single" w:color="000000" w:sz="8" w:space="0"/>
            </w:tcBorders>
            <w:shd w:val="clear" w:color="auto" w:fill="DCE6F2" w:themeFill="accent1" w:themeFillTint="32"/>
            <w:noWrap/>
            <w:vAlign w:val="bottom"/>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数量（台/ 套）</w:t>
            </w:r>
          </w:p>
        </w:tc>
        <w:tc>
          <w:tcPr>
            <w:tcW w:w="1905" w:type="dxa"/>
            <w:tcBorders>
              <w:top w:val="single" w:color="000000" w:sz="8" w:space="0"/>
              <w:left w:val="single" w:color="000000" w:sz="8" w:space="0"/>
              <w:bottom w:val="single" w:color="000000" w:sz="8" w:space="0"/>
              <w:right w:val="single" w:color="000000" w:sz="8" w:space="0"/>
            </w:tcBorders>
            <w:shd w:val="clear" w:color="auto" w:fill="DCE6F2" w:themeFill="accent1" w:themeFillTint="32"/>
            <w:noWrap/>
            <w:vAlign w:val="bottom"/>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功率（kW/ 台）</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7B4S</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JBF-10B</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CF-13B</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JBF-17B</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JBF-19B</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JBF-24B4S</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JBF30B3S</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90</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JBF-30B4S</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YBP13B6S</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37</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高速辗牙机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CGR254H</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高速辗牙机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CGR305H</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12</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高速辗牙机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CGR406H</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高速辗牙机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CGR606H</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14</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高速辗牙机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CGR806H</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12B6SLPK0</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16</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17B6SLPK0</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22B6SLPK0</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18</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27B6SLPK0</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19</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24B5SLPK0</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19B6SLPK0</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30</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21</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41B6SLPK0</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150</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立式冲床</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6503T</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23</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立式冲床</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10003T</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24</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零件成型机</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JPF-41B5S</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25</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炉子</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SY-805-6</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408</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热处理线</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800</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27</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电镀生产线</w:t>
            </w:r>
          </w:p>
        </w:tc>
        <w:tc>
          <w:tcPr>
            <w:tcW w:w="171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全自动镀锌线</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150</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57"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24"/>
                <w:szCs w:val="24"/>
                <w:u w:val="none"/>
                <w:lang w:val="en-US" w:eastAsia="zh-CN" w:bidi="ar"/>
              </w:rPr>
              <w:t>28</w:t>
            </w:r>
          </w:p>
        </w:tc>
        <w:tc>
          <w:tcPr>
            <w:tcW w:w="174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24"/>
                <w:szCs w:val="24"/>
                <w:u w:val="none"/>
                <w:lang w:val="en-US" w:eastAsia="zh-CN" w:bidi="ar"/>
              </w:rPr>
              <w:t>全自动去磷线</w:t>
            </w:r>
          </w:p>
        </w:tc>
        <w:tc>
          <w:tcPr>
            <w:tcW w:w="1715" w:type="dxa"/>
            <w:tcBorders>
              <w:top w:val="single" w:color="000000" w:sz="8" w:space="0"/>
              <w:left w:val="single" w:color="000000" w:sz="8" w:space="0"/>
              <w:bottom w:val="single" w:color="000000" w:sz="8" w:space="0"/>
              <w:right w:val="single" w:color="000000" w:sz="8" w:space="0"/>
            </w:tcBorders>
            <w:noWrap/>
            <w:vAlign w:val="bottom"/>
          </w:tcPr>
          <w:p>
            <w:pPr>
              <w:keepNext w:val="0"/>
              <w:keepLines w:val="0"/>
              <w:widowControl/>
              <w:suppressLineNumbers w:val="0"/>
              <w:jc w:val="lef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前洗槽 2.25X 1.53X 0. 8m, 1只；除磷槽6.0 X2. 03X0. 80, 1 只； 后洗槽 2.25X 1.53X 0. 8m, 1 只</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0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110</w:t>
            </w:r>
          </w:p>
        </w:tc>
      </w:tr>
    </w:tbl>
    <w:p>
      <w:pPr>
        <w:pStyle w:val="7"/>
        <w:bidi w:val="0"/>
      </w:pPr>
      <w:r>
        <w:t xml:space="preserve">表3-1  </w:t>
      </w:r>
      <w:r>
        <w:rPr>
          <w:rFonts w:hint="eastAsia"/>
          <w:lang w:val="en-US" w:eastAsia="zh-CN"/>
        </w:rPr>
        <w:t>专用</w:t>
      </w:r>
      <w:r>
        <w:t>设备清单</w:t>
      </w:r>
    </w:p>
    <w:p/>
    <w:p>
      <w:pPr>
        <w:pStyle w:val="8"/>
        <w:bidi w:val="0"/>
        <w:ind w:left="0" w:leftChars="0" w:firstLine="560" w:firstLineChars="200"/>
      </w:pPr>
      <w:r>
        <w:rPr>
          <w:rFonts w:hint="eastAsia"/>
        </w:rPr>
        <w:t>公司的通用设备主要为空压机、变压器，无生产和使用《淘汰落后生产能力、工艺和产品的目录》、《高耗能落后机电设备（产品）淘汰目录（第一批、第二批、第三批、第四批）》等国家或有关部门发布的淘汰或禁止的技术、工艺、装备及相关物质。工艺设计、设备采购优先选用国家节能机电设备（产品）推荐目录、国家重点节能低碳技术推广目录、能效之星等推广的节能环保装备。</w:t>
      </w:r>
    </w:p>
    <w:p>
      <w:pPr>
        <w:pStyle w:val="7"/>
        <w:bidi w:val="0"/>
      </w:pPr>
      <w:r>
        <w:t>表 3-2  公司主要通用设备能效对标情况表</w:t>
      </w:r>
    </w:p>
    <w:tbl>
      <w:tblPr>
        <w:tblStyle w:val="13"/>
        <w:tblW w:w="8768" w:type="dxa"/>
        <w:tblInd w:w="98" w:type="dxa"/>
        <w:tblLayout w:type="fixed"/>
        <w:tblCellMar>
          <w:top w:w="0" w:type="dxa"/>
          <w:left w:w="108" w:type="dxa"/>
          <w:bottom w:w="0" w:type="dxa"/>
          <w:right w:w="108" w:type="dxa"/>
        </w:tblCellMar>
      </w:tblPr>
      <w:tblGrid>
        <w:gridCol w:w="711"/>
        <w:gridCol w:w="1201"/>
        <w:gridCol w:w="1146"/>
        <w:gridCol w:w="1237"/>
        <w:gridCol w:w="672"/>
        <w:gridCol w:w="1825"/>
        <w:gridCol w:w="1976"/>
      </w:tblGrid>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default" w:ascii="宋体" w:hAnsi="宋体" w:eastAsia="宋体" w:cs="宋体"/>
                <w:b/>
                <w:bCs/>
                <w:i w:val="0"/>
                <w:iCs w:val="0"/>
                <w:color w:val="000000"/>
                <w:kern w:val="0"/>
                <w:sz w:val="21"/>
                <w:szCs w:val="21"/>
                <w:u w:val="none"/>
                <w:lang w:val="en-US" w:eastAsia="zh-CN" w:bidi="ar"/>
              </w:rPr>
              <w:t>序号</w:t>
            </w:r>
          </w:p>
        </w:tc>
        <w:tc>
          <w:tcPr>
            <w:tcW w:w="12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default" w:ascii="宋体" w:hAnsi="宋体" w:eastAsia="宋体" w:cs="宋体"/>
                <w:b/>
                <w:bCs/>
                <w:i w:val="0"/>
                <w:iCs w:val="0"/>
                <w:color w:val="000000"/>
                <w:kern w:val="0"/>
                <w:sz w:val="21"/>
                <w:szCs w:val="21"/>
                <w:u w:val="none"/>
                <w:lang w:val="en-US" w:eastAsia="zh-CN" w:bidi="ar"/>
              </w:rPr>
              <w:t>设备名称</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型号</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数量</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功率</w:t>
            </w:r>
            <w:r>
              <w:rPr>
                <w:rFonts w:hint="default" w:ascii="仿宋" w:hAnsi="仿宋" w:eastAsia="仿宋" w:cs="仿宋"/>
                <w:b/>
                <w:bCs/>
                <w:i w:val="0"/>
                <w:iCs w:val="0"/>
                <w:color w:val="000000"/>
                <w:kern w:val="0"/>
                <w:sz w:val="21"/>
                <w:szCs w:val="21"/>
                <w:u w:val="none"/>
                <w:lang w:val="en-US" w:eastAsia="zh-CN" w:bidi="ar"/>
              </w:rPr>
              <w:t>（kW/</w:t>
            </w:r>
            <w:r>
              <w:rPr>
                <w:rFonts w:hint="eastAsia" w:ascii="仿宋" w:hAnsi="仿宋" w:eastAsia="仿宋" w:cs="仿宋"/>
                <w:b/>
                <w:bCs/>
                <w:i w:val="0"/>
                <w:iCs w:val="0"/>
                <w:color w:val="000000"/>
                <w:kern w:val="0"/>
                <w:sz w:val="21"/>
                <w:szCs w:val="21"/>
                <w:u w:val="none"/>
                <w:lang w:val="en-US" w:eastAsia="zh-CN" w:bidi="ar"/>
              </w:rPr>
              <w:t>台）</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是否满足三级能效</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w:t>
            </w:r>
          </w:p>
        </w:tc>
        <w:tc>
          <w:tcPr>
            <w:tcW w:w="12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变压器</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SCB13-1600/20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1600kVA</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eastAsia="仿宋"/>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2</w:t>
            </w:r>
          </w:p>
        </w:tc>
        <w:tc>
          <w:tcPr>
            <w:tcW w:w="12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变压器</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SCB11-1600/20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1600kVA</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eastAsia="仿宋"/>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w:t>
            </w:r>
          </w:p>
        </w:tc>
        <w:tc>
          <w:tcPr>
            <w:tcW w:w="12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变压器</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SCB11-1250/20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1250kVA</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default"/>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201" w:type="dxa"/>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空压机</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AA6-55A-F-0. 8</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default"/>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空压机</w:t>
            </w:r>
          </w:p>
        </w:tc>
        <w:tc>
          <w:tcPr>
            <w:tcW w:w="11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LA55-7A</w:t>
            </w:r>
          </w:p>
        </w:tc>
        <w:tc>
          <w:tcPr>
            <w:tcW w:w="12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ASLP-YD020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空压机</w:t>
            </w:r>
          </w:p>
        </w:tc>
        <w:tc>
          <w:tcPr>
            <w:tcW w:w="11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L55G-10A</w:t>
            </w:r>
          </w:p>
        </w:tc>
        <w:tc>
          <w:tcPr>
            <w:tcW w:w="12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ASLP-YD020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废气处理装置</w:t>
            </w:r>
          </w:p>
        </w:tc>
        <w:tc>
          <w:tcPr>
            <w:tcW w:w="11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12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ASLP-YD020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45</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纯水处理装置</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3t/h</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废水处理和中水回用处理装 置</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85</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冷却塔</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东元</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bl>
    <w:p/>
    <w:p>
      <w:pPr>
        <w:pStyle w:val="8"/>
        <w:bidi w:val="0"/>
      </w:pPr>
      <w:r>
        <w:t>受核查方相关计量器具的配备与管理符合《用能单位能源计量器具配备与管理通则》(GB17167-2006) 要求。</w:t>
      </w:r>
    </w:p>
    <w:p>
      <w:pPr>
        <w:pStyle w:val="8"/>
        <w:bidi w:val="0"/>
      </w:pPr>
      <w:r>
        <w:t>在计量器具配置方面，公司对所有进出用能单位的能源计量器具 、进出主要次级用能单位和重点用能设备的能源计量器具进行了评价 ，加强能源计量器具管理。进出用能单位能源计量器具主要用于水、 电力的计量，计量设备配备率100%；进出主要次级用能单位能源计量器具主要用于各车间能源消耗计量，计量设备配备率100%；主要用能设备能源计量器具主要用于设备计量，计量设备配备率100%。</w:t>
      </w:r>
    </w:p>
    <w:p>
      <w:pPr>
        <w:pStyle w:val="7"/>
        <w:bidi w:val="0"/>
      </w:pPr>
      <w:r>
        <w:t>表3-3 主要能源计量器具配置率</w:t>
      </w:r>
    </w:p>
    <w:tbl>
      <w:tblPr>
        <w:tblStyle w:val="13"/>
        <w:tblW w:w="497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83"/>
        <w:gridCol w:w="1804"/>
        <w:gridCol w:w="877"/>
        <w:gridCol w:w="879"/>
        <w:gridCol w:w="1806"/>
        <w:gridCol w:w="13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2518" w:type="pct"/>
            <w:gridSpan w:val="2"/>
            <w:vMerge w:val="restart"/>
            <w:tcBorders>
              <w:top w:val="single" w:color="000000" w:sz="8" w:space="0"/>
              <w:left w:val="single" w:color="000000" w:sz="8" w:space="0"/>
              <w:bottom w:val="single" w:color="000000" w:sz="8" w:space="0"/>
              <w:right w:val="single" w:color="000000" w:sz="8" w:space="0"/>
            </w:tcBorders>
            <w:shd w:val="clear" w:color="auto" w:fill="C7DAF1" w:themeFill="text2" w:themeFillTint="32"/>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能源计量器具装备</w:t>
            </w:r>
          </w:p>
        </w:tc>
        <w:tc>
          <w:tcPr>
            <w:tcW w:w="2481" w:type="pct"/>
            <w:gridSpan w:val="4"/>
            <w:tcBorders>
              <w:top w:val="single" w:color="000000" w:sz="8" w:space="0"/>
              <w:left w:val="nil"/>
              <w:bottom w:val="single" w:color="000000" w:sz="8" w:space="0"/>
              <w:right w:val="single" w:color="000000" w:sz="8" w:space="0"/>
            </w:tcBorders>
            <w:shd w:val="clear" w:color="auto" w:fill="C7DAF1" w:themeFill="text2" w:themeFillTint="32"/>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能源类别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18" w:type="pct"/>
            <w:gridSpan w:val="2"/>
            <w:vMerge w:val="continue"/>
            <w:tcBorders>
              <w:top w:val="single" w:color="000000" w:sz="8" w:space="0"/>
              <w:left w:val="single" w:color="000000" w:sz="8" w:space="0"/>
              <w:bottom w:val="single" w:color="000000" w:sz="8" w:space="0"/>
              <w:right w:val="single" w:color="000000" w:sz="8" w:space="0"/>
            </w:tcBorders>
            <w:shd w:val="clear" w:color="auto" w:fill="C7DAF1" w:themeFill="text2" w:themeFillTint="32"/>
            <w:vAlign w:val="center"/>
          </w:tcPr>
          <w:p>
            <w:pPr>
              <w:jc w:val="center"/>
              <w:rPr>
                <w:rFonts w:hint="default" w:ascii="Times New Roman" w:hAnsi="Times New Roman" w:eastAsia="宋体" w:cs="Times New Roman"/>
                <w:b/>
                <w:bCs/>
                <w:i w:val="0"/>
                <w:iCs w:val="0"/>
                <w:color w:val="000000"/>
                <w:sz w:val="24"/>
                <w:szCs w:val="24"/>
                <w:u w:val="none"/>
              </w:rPr>
            </w:pPr>
          </w:p>
        </w:tc>
        <w:tc>
          <w:tcPr>
            <w:tcW w:w="443" w:type="pct"/>
            <w:tcBorders>
              <w:top w:val="nil"/>
              <w:left w:val="nil"/>
              <w:bottom w:val="single" w:color="000000" w:sz="8" w:space="0"/>
              <w:right w:val="single" w:color="000000" w:sz="8" w:space="0"/>
            </w:tcBorders>
            <w:shd w:val="clear" w:color="auto" w:fill="C7DAF1" w:themeFill="text2" w:themeFillTint="32"/>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电</w:t>
            </w:r>
          </w:p>
        </w:tc>
        <w:tc>
          <w:tcPr>
            <w:tcW w:w="444" w:type="pct"/>
            <w:tcBorders>
              <w:top w:val="single" w:color="000000" w:sz="8" w:space="0"/>
              <w:left w:val="nil"/>
              <w:bottom w:val="single" w:color="000000" w:sz="8" w:space="0"/>
              <w:right w:val="single" w:color="000000" w:sz="8" w:space="0"/>
            </w:tcBorders>
            <w:shd w:val="clear" w:color="auto" w:fill="C7DAF1" w:themeFill="text2" w:themeFillTint="32"/>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水</w:t>
            </w:r>
          </w:p>
        </w:tc>
        <w:tc>
          <w:tcPr>
            <w:tcW w:w="912" w:type="pct"/>
            <w:tcBorders>
              <w:top w:val="single" w:color="000000" w:sz="8" w:space="0"/>
              <w:left w:val="nil"/>
              <w:bottom w:val="single" w:color="000000" w:sz="8" w:space="0"/>
              <w:right w:val="single" w:color="000000" w:sz="8" w:space="0"/>
            </w:tcBorders>
            <w:shd w:val="clear" w:color="auto" w:fill="C7DAF1" w:themeFill="text2" w:themeFillTint="32"/>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天然气</w:t>
            </w:r>
          </w:p>
        </w:tc>
        <w:tc>
          <w:tcPr>
            <w:tcW w:w="680" w:type="pct"/>
            <w:tcBorders>
              <w:top w:val="single" w:color="000000" w:sz="8" w:space="0"/>
              <w:left w:val="nil"/>
              <w:bottom w:val="single" w:color="000000" w:sz="8" w:space="0"/>
              <w:right w:val="single" w:color="000000" w:sz="8" w:space="0"/>
            </w:tcBorders>
            <w:shd w:val="clear" w:color="auto" w:fill="C7DAF1" w:themeFill="text2" w:themeFillTint="32"/>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蒸汽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607" w:type="pct"/>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进出用能单位</w:t>
            </w:r>
          </w:p>
        </w:tc>
        <w:tc>
          <w:tcPr>
            <w:tcW w:w="91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应配数</w:t>
            </w:r>
          </w:p>
        </w:tc>
        <w:tc>
          <w:tcPr>
            <w:tcW w:w="44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912"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680"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607" w:type="pct"/>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c>
          <w:tcPr>
            <w:tcW w:w="91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实配数</w:t>
            </w:r>
          </w:p>
        </w:tc>
        <w:tc>
          <w:tcPr>
            <w:tcW w:w="44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912"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68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607" w:type="pct"/>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c>
          <w:tcPr>
            <w:tcW w:w="91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配置率</w:t>
            </w:r>
          </w:p>
        </w:tc>
        <w:tc>
          <w:tcPr>
            <w:tcW w:w="443" w:type="pct"/>
            <w:tcBorders>
              <w:top w:val="nil"/>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lang w:val="en-US" w:eastAsia="zh-CN"/>
              </w:rPr>
            </w:pPr>
            <w:r>
              <w:rPr>
                <w:rFonts w:hint="eastAsia" w:ascii="Times New Roman" w:hAnsi="Times New Roman" w:eastAsia="宋体" w:cs="Times New Roman"/>
                <w:i w:val="0"/>
                <w:iCs w:val="0"/>
                <w:color w:val="000000"/>
                <w:sz w:val="24"/>
                <w:szCs w:val="24"/>
                <w:u w:val="none"/>
                <w:lang w:val="en-US" w:eastAsia="zh-CN"/>
              </w:rPr>
              <w:t>100％</w:t>
            </w:r>
          </w:p>
        </w:tc>
        <w:tc>
          <w:tcPr>
            <w:tcW w:w="444" w:type="pct"/>
            <w:tcBorders>
              <w:top w:val="nil"/>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sz w:val="24"/>
                <w:szCs w:val="24"/>
                <w:u w:val="none"/>
                <w:lang w:val="en-US" w:eastAsia="zh-CN"/>
              </w:rPr>
              <w:t>100％</w:t>
            </w:r>
          </w:p>
        </w:tc>
        <w:tc>
          <w:tcPr>
            <w:tcW w:w="912" w:type="pct"/>
            <w:tcBorders>
              <w:top w:val="nil"/>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sz w:val="24"/>
                <w:szCs w:val="24"/>
                <w:u w:val="none"/>
                <w:lang w:val="en-US" w:eastAsia="zh-CN"/>
              </w:rPr>
              <w:t>100％</w:t>
            </w:r>
          </w:p>
        </w:tc>
        <w:tc>
          <w:tcPr>
            <w:tcW w:w="680" w:type="pct"/>
            <w:tcBorders>
              <w:top w:val="nil"/>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sz w:val="24"/>
                <w:szCs w:val="24"/>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607" w:type="pct"/>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次级用能单位</w:t>
            </w:r>
          </w:p>
        </w:tc>
        <w:tc>
          <w:tcPr>
            <w:tcW w:w="91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应配数</w:t>
            </w:r>
          </w:p>
        </w:tc>
        <w:tc>
          <w:tcPr>
            <w:tcW w:w="44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4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912"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c>
          <w:tcPr>
            <w:tcW w:w="68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607" w:type="pct"/>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c>
          <w:tcPr>
            <w:tcW w:w="91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实配数</w:t>
            </w:r>
          </w:p>
        </w:tc>
        <w:tc>
          <w:tcPr>
            <w:tcW w:w="44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4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912"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c>
          <w:tcPr>
            <w:tcW w:w="68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607" w:type="pct"/>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c>
          <w:tcPr>
            <w:tcW w:w="91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配置率</w:t>
            </w:r>
          </w:p>
        </w:tc>
        <w:tc>
          <w:tcPr>
            <w:tcW w:w="443" w:type="pct"/>
            <w:tcBorders>
              <w:top w:val="nil"/>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sz w:val="24"/>
                <w:szCs w:val="24"/>
                <w:u w:val="none"/>
                <w:lang w:val="en-US" w:eastAsia="zh-CN"/>
              </w:rPr>
              <w:t>100％</w:t>
            </w:r>
          </w:p>
        </w:tc>
        <w:tc>
          <w:tcPr>
            <w:tcW w:w="444" w:type="pct"/>
            <w:tcBorders>
              <w:top w:val="nil"/>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sz w:val="24"/>
                <w:szCs w:val="24"/>
                <w:u w:val="none"/>
                <w:lang w:val="en-US" w:eastAsia="zh-CN"/>
              </w:rPr>
              <w:t>100％</w:t>
            </w:r>
          </w:p>
        </w:tc>
        <w:tc>
          <w:tcPr>
            <w:tcW w:w="912" w:type="pct"/>
            <w:tcBorders>
              <w:top w:val="nil"/>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c>
          <w:tcPr>
            <w:tcW w:w="680" w:type="pct"/>
            <w:tcBorders>
              <w:top w:val="nil"/>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607" w:type="pct"/>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主要用能设备</w:t>
            </w:r>
          </w:p>
        </w:tc>
        <w:tc>
          <w:tcPr>
            <w:tcW w:w="91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应配数</w:t>
            </w:r>
          </w:p>
        </w:tc>
        <w:tc>
          <w:tcPr>
            <w:tcW w:w="443" w:type="pc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444" w:type="pc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912" w:type="pc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c>
          <w:tcPr>
            <w:tcW w:w="680" w:type="pc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607" w:type="pct"/>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c>
          <w:tcPr>
            <w:tcW w:w="91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实配数</w:t>
            </w:r>
          </w:p>
        </w:tc>
        <w:tc>
          <w:tcPr>
            <w:tcW w:w="443" w:type="pc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444" w:type="pc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912" w:type="pc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c>
          <w:tcPr>
            <w:tcW w:w="680" w:type="pc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607" w:type="pct"/>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c>
          <w:tcPr>
            <w:tcW w:w="910"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配置率</w:t>
            </w:r>
          </w:p>
        </w:tc>
        <w:tc>
          <w:tcPr>
            <w:tcW w:w="443" w:type="pct"/>
            <w:tcBorders>
              <w:top w:val="nil"/>
              <w:left w:val="nil"/>
              <w:bottom w:val="single" w:color="000000" w:sz="8" w:space="0"/>
              <w:right w:val="single" w:color="000000" w:sz="8" w:space="0"/>
            </w:tcBorders>
            <w:shd w:val="clear" w:color="auto" w:fill="auto"/>
            <w:vAlign w:val="top"/>
          </w:tcPr>
          <w:p>
            <w:pPr>
              <w:jc w:val="center"/>
              <w:rPr>
                <w:rFonts w:hint="default" w:ascii="Times New Roman" w:hAnsi="Times New Roman" w:eastAsia="宋体" w:cs="Times New Roman"/>
                <w:i w:val="0"/>
                <w:iCs w:val="0"/>
                <w:color w:val="000000"/>
                <w:sz w:val="24"/>
                <w:szCs w:val="24"/>
                <w:u w:val="none"/>
                <w:lang w:val="en-US" w:eastAsia="zh-CN"/>
              </w:rPr>
            </w:pPr>
            <w:r>
              <w:rPr>
                <w:rFonts w:hint="eastAsia" w:ascii="Times New Roman" w:hAnsi="Times New Roman" w:eastAsia="宋体" w:cs="Times New Roman"/>
                <w:i w:val="0"/>
                <w:iCs w:val="0"/>
                <w:color w:val="000000"/>
                <w:sz w:val="24"/>
                <w:szCs w:val="24"/>
                <w:u w:val="none"/>
                <w:lang w:val="en-US" w:eastAsia="zh-CN"/>
              </w:rPr>
              <w:t>129％</w:t>
            </w:r>
          </w:p>
        </w:tc>
        <w:tc>
          <w:tcPr>
            <w:tcW w:w="444" w:type="pct"/>
            <w:tcBorders>
              <w:top w:val="nil"/>
              <w:left w:val="nil"/>
              <w:bottom w:val="single" w:color="000000" w:sz="8" w:space="0"/>
              <w:right w:val="single" w:color="000000" w:sz="8" w:space="0"/>
            </w:tcBorders>
            <w:shd w:val="clear" w:color="auto" w:fill="auto"/>
            <w:vAlign w:val="top"/>
          </w:tcPr>
          <w:p>
            <w:pPr>
              <w:jc w:val="center"/>
              <w:rPr>
                <w:rFonts w:hint="default" w:ascii="Times New Roman" w:hAnsi="Times New Roman" w:eastAsia="宋体" w:cs="Times New Roman"/>
                <w:i w:val="0"/>
                <w:iCs w:val="0"/>
                <w:color w:val="000000"/>
                <w:sz w:val="24"/>
                <w:szCs w:val="24"/>
                <w:u w:val="none"/>
                <w:lang w:val="en-US" w:eastAsia="zh-CN"/>
              </w:rPr>
            </w:pPr>
            <w:r>
              <w:rPr>
                <w:rFonts w:hint="eastAsia" w:ascii="Times New Roman" w:hAnsi="Times New Roman" w:eastAsia="宋体" w:cs="Times New Roman"/>
                <w:i w:val="0"/>
                <w:iCs w:val="0"/>
                <w:color w:val="000000"/>
                <w:sz w:val="24"/>
                <w:szCs w:val="24"/>
                <w:u w:val="none"/>
                <w:lang w:val="en-US" w:eastAsia="zh-CN"/>
              </w:rPr>
              <w:t>100％</w:t>
            </w:r>
          </w:p>
        </w:tc>
        <w:tc>
          <w:tcPr>
            <w:tcW w:w="912" w:type="pct"/>
            <w:tcBorders>
              <w:top w:val="nil"/>
              <w:left w:val="nil"/>
              <w:bottom w:val="single" w:color="000000" w:sz="8" w:space="0"/>
              <w:right w:val="single" w:color="000000" w:sz="8" w:space="0"/>
            </w:tcBorders>
            <w:shd w:val="clear" w:color="auto" w:fill="auto"/>
            <w:vAlign w:val="top"/>
          </w:tcPr>
          <w:p>
            <w:pPr>
              <w:jc w:val="center"/>
              <w:rPr>
                <w:rFonts w:hint="default" w:ascii="Times New Roman" w:hAnsi="Times New Roman" w:eastAsia="宋体" w:cs="Times New Roman"/>
                <w:i w:val="0"/>
                <w:iCs w:val="0"/>
                <w:color w:val="000000"/>
                <w:sz w:val="24"/>
                <w:szCs w:val="24"/>
                <w:u w:val="none"/>
              </w:rPr>
            </w:pPr>
          </w:p>
        </w:tc>
        <w:tc>
          <w:tcPr>
            <w:tcW w:w="680" w:type="pct"/>
            <w:tcBorders>
              <w:top w:val="nil"/>
              <w:left w:val="nil"/>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pStyle w:val="20"/>
        <w:rPr>
          <w:highlight w:val="yellow"/>
        </w:rPr>
      </w:pPr>
      <w:r>
        <w:drawing>
          <wp:inline distT="0" distB="0" distL="114300" distR="114300">
            <wp:extent cx="2087880" cy="1833245"/>
            <wp:effectExtent l="0" t="0" r="7620" b="14605"/>
            <wp:docPr id="9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 name="图片 8"/>
                    <pic:cNvPicPr>
                      <a:picLocks noChangeAspect="1"/>
                    </pic:cNvPicPr>
                  </pic:nvPicPr>
                  <pic:blipFill>
                    <a:blip r:embed="rId40"/>
                    <a:stretch>
                      <a:fillRect/>
                    </a:stretch>
                  </pic:blipFill>
                  <pic:spPr>
                    <a:xfrm>
                      <a:off x="0" y="0"/>
                      <a:ext cx="2087880" cy="1833245"/>
                    </a:xfrm>
                    <a:prstGeom prst="rect">
                      <a:avLst/>
                    </a:prstGeom>
                    <a:noFill/>
                    <a:ln>
                      <a:noFill/>
                    </a:ln>
                  </pic:spPr>
                </pic:pic>
              </a:graphicData>
            </a:graphic>
          </wp:inline>
        </w:drawing>
      </w:r>
      <w:r>
        <w:rPr>
          <w:rFonts w:hint="eastAsia"/>
        </w:rPr>
        <w:t xml:space="preserve">        </w:t>
      </w:r>
      <w:r>
        <w:rPr>
          <w:rFonts w:hint="eastAsia"/>
          <w:b w:val="0"/>
          <w:sz w:val="24"/>
        </w:rPr>
        <w:t xml:space="preserve">             </w:t>
      </w:r>
      <w:r>
        <w:rPr>
          <w:rFonts w:hint="eastAsia"/>
          <w:b w:val="0"/>
          <w:sz w:val="24"/>
          <w:lang w:val="en-US" w:eastAsia="zh-CN"/>
        </w:rPr>
        <w:t xml:space="preserve">                            </w:t>
      </w:r>
      <w:r>
        <w:rPr>
          <w:rFonts w:hint="eastAsia"/>
          <w:b w:val="0"/>
          <w:sz w:val="24"/>
        </w:rPr>
        <w:t xml:space="preserve">   </w:t>
      </w:r>
    </w:p>
    <w:p>
      <w:pPr>
        <w:pStyle w:val="7"/>
        <w:bidi w:val="0"/>
        <w:rPr>
          <w:rFonts w:hint="eastAsia"/>
        </w:rPr>
      </w:pPr>
      <w:r>
        <w:t>图</w:t>
      </w:r>
      <w:r>
        <w:rPr>
          <w:rFonts w:hint="eastAsia"/>
          <w:lang w:val="en-US" w:eastAsia="zh-CN"/>
        </w:rPr>
        <w:t>3-3</w:t>
      </w:r>
      <w:r>
        <w:rPr>
          <w:rFonts w:hint="eastAsia"/>
        </w:rPr>
        <w:t>计量器具分布图</w:t>
      </w:r>
    </w:p>
    <w:p>
      <w:pPr>
        <w:spacing w:line="149" w:lineRule="exact"/>
      </w:pPr>
    </w:p>
    <w:p>
      <w:pPr>
        <w:pStyle w:val="5"/>
        <w:bidi w:val="0"/>
        <w:rPr>
          <w:highlight w:val="none"/>
        </w:rPr>
      </w:pPr>
      <w:bookmarkStart w:id="26" w:name="_bookmark14"/>
      <w:bookmarkEnd w:id="26"/>
      <w:bookmarkStart w:id="27" w:name="_Toc6476"/>
      <w:r>
        <w:t>3.1.3</w:t>
      </w:r>
      <w:r>
        <w:rPr>
          <w:highlight w:val="none"/>
        </w:rPr>
        <w:t>主营产品生产情况</w:t>
      </w:r>
      <w:bookmarkEnd w:id="27"/>
    </w:p>
    <w:p>
      <w:pPr>
        <w:pStyle w:val="8"/>
        <w:bidi w:val="0"/>
      </w:pPr>
      <w:r>
        <w:t>根据受核查方《</w:t>
      </w:r>
      <w:r>
        <w:rPr>
          <w:rFonts w:hint="eastAsia"/>
          <w:lang w:eastAsia="zh-CN"/>
        </w:rPr>
        <w:t>浙江群展精密紧固件股份有限公司</w:t>
      </w:r>
      <w:r>
        <w:t>原辅料消耗</w:t>
      </w:r>
      <w:r>
        <w:rPr>
          <w:rFonts w:hint="eastAsia"/>
          <w:lang w:eastAsia="zh-CN"/>
        </w:rPr>
        <w:t>（</w:t>
      </w:r>
      <w:r>
        <w:t>202</w:t>
      </w:r>
      <w:r>
        <w:rPr>
          <w:rFonts w:hint="eastAsia"/>
          <w:lang w:val="en-US" w:eastAsia="zh-CN"/>
        </w:rPr>
        <w:t>2</w:t>
      </w:r>
      <w:r>
        <w:t>年</w:t>
      </w:r>
      <w:r>
        <w:rPr>
          <w:rFonts w:hint="eastAsia"/>
          <w:lang w:eastAsia="zh-CN"/>
        </w:rPr>
        <w:t>）</w:t>
      </w:r>
      <w:r>
        <w:t>》、 财务报表数据、《能源购进、消费与库存》和《工业产销总值及主要产品产量》，受核查方主营产品产量信息如下表所示：</w:t>
      </w:r>
    </w:p>
    <w:p>
      <w:pPr>
        <w:pStyle w:val="7"/>
        <w:bidi w:val="0"/>
        <w:rPr>
          <w:highlight w:val="none"/>
        </w:rPr>
      </w:pPr>
      <w:r>
        <w:rPr>
          <w:highlight w:val="none"/>
        </w:rPr>
        <w:t>表3-4 主营产品产量信息</w:t>
      </w:r>
    </w:p>
    <w:p>
      <w:pPr>
        <w:spacing w:line="227" w:lineRule="exact"/>
      </w:pPr>
    </w:p>
    <w:tbl>
      <w:tblPr>
        <w:tblStyle w:val="16"/>
        <w:tblW w:w="8308" w:type="dxa"/>
        <w:tblInd w:w="70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03"/>
        <w:gridCol w:w="530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3003"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rPr>
                <w:highlight w:val="none"/>
              </w:rPr>
              <w:t>总产值 (万元)</w:t>
            </w:r>
          </w:p>
        </w:tc>
        <w:tc>
          <w:tcPr>
            <w:tcW w:w="5305"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hint="default" w:eastAsia="宋体"/>
                <w:lang w:val="en-US" w:eastAsia="zh-CN"/>
              </w:rPr>
            </w:pPr>
            <w:r>
              <w:rPr>
                <w:rFonts w:hint="eastAsia" w:ascii="Times New Roman" w:hAnsi="Times New Roman"/>
                <w:sz w:val="24"/>
              </w:rPr>
              <w:t>2</w:t>
            </w:r>
            <w:r>
              <w:rPr>
                <w:rFonts w:hint="eastAsia"/>
                <w:sz w:val="24"/>
                <w:lang w:val="en-US" w:eastAsia="zh-CN"/>
              </w:rPr>
              <w:t>0099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3003"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综合能耗 (吨标煤)</w:t>
            </w:r>
          </w:p>
        </w:tc>
        <w:tc>
          <w:tcPr>
            <w:tcW w:w="5305"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hint="eastAsia" w:eastAsia="宋体"/>
                <w:highlight w:val="yellow"/>
                <w:lang w:eastAsia="zh-CN"/>
              </w:rPr>
            </w:pPr>
            <w:r>
              <w:rPr>
                <w:rFonts w:hint="eastAsia"/>
                <w:highlight w:val="none"/>
                <w:lang w:val="en-US" w:eastAsia="zh-CN"/>
              </w:rPr>
              <w:t>1056.06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3003"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综合能耗 (吨标煤)</w:t>
            </w:r>
          </w:p>
        </w:tc>
        <w:tc>
          <w:tcPr>
            <w:tcW w:w="5305"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highlight w:val="yellow"/>
              </w:rPr>
            </w:pPr>
            <w:r>
              <w:rPr>
                <w:rFonts w:hint="eastAsia"/>
                <w:highlight w:val="none"/>
                <w:lang w:val="en-US" w:eastAsia="zh-CN"/>
              </w:rPr>
              <w:t>2784.69</w:t>
            </w:r>
            <w:r>
              <w:rPr>
                <w:highlight w:val="none"/>
              </w:rPr>
              <w:t xml:space="preserve"> (等价)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3003"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主要产品名称</w:t>
            </w:r>
          </w:p>
        </w:tc>
        <w:tc>
          <w:tcPr>
            <w:tcW w:w="5305"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年产量 (</w:t>
            </w:r>
            <w:r>
              <w:rPr>
                <w:rFonts w:hint="eastAsia"/>
                <w:lang w:val="en-US" w:eastAsia="zh-CN"/>
              </w:rPr>
              <w:t>吨</w:t>
            </w:r>
            <w: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3003"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hint="default"/>
                <w:lang w:val="en-US" w:eastAsia="zh-CN"/>
              </w:rPr>
            </w:pPr>
            <w:r>
              <w:rPr>
                <w:rFonts w:hint="eastAsia"/>
                <w:lang w:val="en-US" w:eastAsia="zh-CN"/>
              </w:rPr>
              <w:t>螺栓、螺母、套筒</w:t>
            </w:r>
          </w:p>
        </w:tc>
        <w:tc>
          <w:tcPr>
            <w:tcW w:w="5305"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hint="default" w:eastAsia="宋体"/>
                <w:lang w:val="en-US" w:eastAsia="zh-CN"/>
              </w:rPr>
            </w:pPr>
            <w:r>
              <w:rPr>
                <w:rFonts w:hint="eastAsia"/>
                <w:lang w:val="en-US" w:eastAsia="zh-CN"/>
              </w:rPr>
              <w:t>8508t</w:t>
            </w:r>
          </w:p>
        </w:tc>
      </w:tr>
    </w:tbl>
    <w:p/>
    <w:p>
      <w:pPr>
        <w:bidi w:val="0"/>
      </w:pPr>
    </w:p>
    <w:p>
      <w:pPr>
        <w:spacing w:line="14" w:lineRule="auto"/>
        <w:rPr>
          <w:rFonts w:ascii="Arial"/>
          <w:sz w:val="2"/>
        </w:rPr>
      </w:pPr>
    </w:p>
    <w:tbl>
      <w:tblPr>
        <w:tblStyle w:val="16"/>
        <w:tblW w:w="885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7"/>
        <w:gridCol w:w="3514"/>
        <w:gridCol w:w="35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jc w:val="center"/>
        </w:trPr>
        <w:tc>
          <w:tcPr>
            <w:tcW w:w="8850" w:type="dxa"/>
            <w:gridSpan w:val="3"/>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核查过程描述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数据名称</w:t>
            </w:r>
          </w:p>
        </w:tc>
        <w:tc>
          <w:tcPr>
            <w:tcW w:w="7023" w:type="dxa"/>
            <w:gridSpan w:val="2"/>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产品产量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数值</w:t>
            </w:r>
          </w:p>
        </w:tc>
        <w:tc>
          <w:tcPr>
            <w:tcW w:w="3514"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填报数据：/</w:t>
            </w:r>
          </w:p>
        </w:tc>
        <w:tc>
          <w:tcPr>
            <w:tcW w:w="3509"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hint="default" w:eastAsia="宋体"/>
                <w:lang w:val="en-US" w:eastAsia="zh-CN"/>
              </w:rPr>
            </w:pPr>
            <w:r>
              <w:t>核查数据：</w:t>
            </w:r>
            <w:r>
              <w:rPr>
                <w:rFonts w:hint="eastAsia"/>
                <w:lang w:val="en-US" w:eastAsia="zh-CN"/>
              </w:rPr>
              <w:t>8508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单位</w:t>
            </w:r>
          </w:p>
        </w:tc>
        <w:tc>
          <w:tcPr>
            <w:tcW w:w="7023" w:type="dxa"/>
            <w:gridSpan w:val="2"/>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吨</w:t>
            </w:r>
            <w:bookmarkStart w:id="97" w:name="_GoBack"/>
            <w:bookmarkEnd w:id="97"/>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3"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p>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数据来源</w:t>
            </w:r>
          </w:p>
        </w:tc>
        <w:tc>
          <w:tcPr>
            <w:tcW w:w="7023" w:type="dxa"/>
            <w:gridSpan w:val="2"/>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填报数据：未填报</w:t>
            </w:r>
          </w:p>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核查数据：《</w:t>
            </w:r>
            <w:r>
              <w:rPr>
                <w:rFonts w:hint="eastAsia"/>
                <w:lang w:eastAsia="zh-CN"/>
              </w:rPr>
              <w:t>浙江群展精密紧固件股份有限公司</w:t>
            </w:r>
            <w:r>
              <w:t>出入库(202</w:t>
            </w:r>
            <w:r>
              <w:rPr>
                <w:rFonts w:hint="eastAsia"/>
                <w:lang w:val="en-US" w:eastAsia="zh-CN"/>
              </w:rPr>
              <w:t>2</w:t>
            </w:r>
            <w:r>
              <w:t>年)》 交叉核查数据：财务提供的销售量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监测方法</w:t>
            </w:r>
          </w:p>
        </w:tc>
        <w:tc>
          <w:tcPr>
            <w:tcW w:w="7023" w:type="dxa"/>
            <w:gridSpan w:val="2"/>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生产计量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监测频次</w:t>
            </w:r>
          </w:p>
        </w:tc>
        <w:tc>
          <w:tcPr>
            <w:tcW w:w="7023" w:type="dxa"/>
            <w:gridSpan w:val="2"/>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每批计量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7"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记录频次</w:t>
            </w:r>
          </w:p>
        </w:tc>
        <w:tc>
          <w:tcPr>
            <w:tcW w:w="7023" w:type="dxa"/>
            <w:gridSpan w:val="2"/>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每月汇总</w:t>
            </w:r>
          </w:p>
        </w:tc>
      </w:tr>
    </w:tbl>
    <w:p>
      <w:pPr>
        <w:rPr>
          <w:rFonts w:ascii="Arial"/>
          <w:sz w:val="21"/>
        </w:rPr>
      </w:pPr>
    </w:p>
    <w:p>
      <w:pPr>
        <w:sectPr>
          <w:headerReference r:id="rId7" w:type="default"/>
          <w:footerReference r:id="rId8" w:type="default"/>
          <w:pgSz w:w="11906" w:h="16840"/>
          <w:pgMar w:top="1304" w:right="1087" w:bottom="1304" w:left="1087" w:header="901" w:footer="852" w:gutter="0"/>
          <w:pgNumType w:fmt="decimal" w:start="1"/>
          <w:cols w:space="720" w:num="1"/>
        </w:sectPr>
      </w:pPr>
    </w:p>
    <w:p/>
    <w:p>
      <w:pPr>
        <w:spacing w:line="26" w:lineRule="exact"/>
      </w:pPr>
    </w:p>
    <w:tbl>
      <w:tblPr>
        <w:tblStyle w:val="16"/>
        <w:tblW w:w="887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7"/>
        <w:gridCol w:w="704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监测设备维护</w:t>
            </w:r>
          </w:p>
        </w:tc>
        <w:tc>
          <w:tcPr>
            <w:tcW w:w="7044"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数据缺失处理</w:t>
            </w:r>
          </w:p>
        </w:tc>
        <w:tc>
          <w:tcPr>
            <w:tcW w:w="7044"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本报告期内无数据缺失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抽样检查</w:t>
            </w:r>
          </w:p>
        </w:tc>
        <w:tc>
          <w:tcPr>
            <w:tcW w:w="7044"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填报数据、交叉核对数据100%核对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0"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交叉核对</w:t>
            </w:r>
          </w:p>
        </w:tc>
        <w:tc>
          <w:tcPr>
            <w:tcW w:w="7044" w:type="dxa"/>
            <w:vAlign w:val="center"/>
          </w:tcPr>
          <w:p>
            <w:pPr>
              <w:pStyle w:val="17"/>
              <w:keepNext w:val="0"/>
              <w:keepLines w:val="0"/>
              <w:pageBreakBefore w:val="0"/>
              <w:widowControl/>
              <w:kinsoku w:val="0"/>
              <w:wordWrap/>
              <w:overflowPunct/>
              <w:topLinePunct w:val="0"/>
              <w:autoSpaceDE w:val="0"/>
              <w:autoSpaceDN w:val="0"/>
              <w:bidi w:val="0"/>
              <w:adjustRightInd/>
              <w:snapToGrid/>
              <w:jc w:val="both"/>
              <w:textAlignment w:val="center"/>
            </w:pPr>
            <w:r>
              <w:t>(1) 受核查方产量数据未填报。</w:t>
            </w:r>
          </w:p>
          <w:p>
            <w:pPr>
              <w:pStyle w:val="17"/>
              <w:keepNext w:val="0"/>
              <w:keepLines w:val="0"/>
              <w:pageBreakBefore w:val="0"/>
              <w:widowControl/>
              <w:kinsoku w:val="0"/>
              <w:wordWrap/>
              <w:overflowPunct/>
              <w:topLinePunct w:val="0"/>
              <w:autoSpaceDE w:val="0"/>
              <w:autoSpaceDN w:val="0"/>
              <w:bidi w:val="0"/>
              <w:adjustRightInd/>
              <w:snapToGrid/>
              <w:jc w:val="both"/>
              <w:textAlignment w:val="center"/>
              <w:rPr>
                <w:highlight w:val="none"/>
              </w:rPr>
            </w:pPr>
            <w:r>
              <w:t>(2) 受核查方产量数据来源于《</w:t>
            </w:r>
            <w:r>
              <w:rPr>
                <w:rFonts w:hint="eastAsia"/>
                <w:lang w:eastAsia="zh-CN"/>
              </w:rPr>
              <w:t>浙江群展精密紧固件股份有限公司</w:t>
            </w:r>
            <w:r>
              <w:t>出入库 (</w:t>
            </w:r>
            <w:r>
              <w:rPr>
                <w:rFonts w:hint="eastAsia"/>
                <w:lang w:eastAsia="zh-CN"/>
              </w:rPr>
              <w:t>2022</w:t>
            </w:r>
            <w:r>
              <w:t>年 ) 》，检查组确认《</w:t>
            </w:r>
            <w:r>
              <w:rPr>
                <w:rFonts w:hint="eastAsia"/>
                <w:lang w:eastAsia="zh-CN"/>
              </w:rPr>
              <w:t>浙江群展精密紧固件股份有限公司</w:t>
            </w:r>
            <w:r>
              <w:t>出入库 (</w:t>
            </w:r>
            <w:r>
              <w:rPr>
                <w:rFonts w:hint="eastAsia"/>
                <w:lang w:eastAsia="zh-CN"/>
              </w:rPr>
              <w:t>2022</w:t>
            </w:r>
            <w:r>
              <w:t>年) 》中产量全年累计值</w:t>
            </w:r>
            <w:r>
              <w:rPr>
                <w:rFonts w:hint="eastAsia"/>
                <w:highlight w:val="none"/>
                <w:lang w:val="en-US" w:eastAsia="zh-CN"/>
              </w:rPr>
              <w:t>6180</w:t>
            </w:r>
            <w:r>
              <w:rPr>
                <w:highlight w:val="none"/>
              </w:rPr>
              <w:t>吨。</w:t>
            </w:r>
          </w:p>
          <w:p>
            <w:pPr>
              <w:pStyle w:val="17"/>
              <w:keepNext w:val="0"/>
              <w:keepLines w:val="0"/>
              <w:pageBreakBefore w:val="0"/>
              <w:widowControl/>
              <w:kinsoku w:val="0"/>
              <w:wordWrap/>
              <w:overflowPunct/>
              <w:topLinePunct w:val="0"/>
              <w:autoSpaceDE w:val="0"/>
              <w:autoSpaceDN w:val="0"/>
              <w:bidi w:val="0"/>
              <w:adjustRightInd/>
              <w:snapToGrid/>
              <w:jc w:val="both"/>
              <w:textAlignment w:val="center"/>
            </w:pPr>
            <w:r>
              <w:rPr>
                <w:highlight w:val="none"/>
              </w:rPr>
              <w:t>(3) 核查组进一步核对财务提供的销售量</w:t>
            </w:r>
            <w:r>
              <w:rPr>
                <w:rFonts w:hint="eastAsia"/>
                <w:highlight w:val="none"/>
                <w:lang w:val="en-US" w:eastAsia="zh-CN"/>
              </w:rPr>
              <w:t>10323</w:t>
            </w:r>
            <w:r>
              <w:t>吨，与《</w:t>
            </w:r>
            <w:r>
              <w:rPr>
                <w:rFonts w:hint="eastAsia"/>
                <w:lang w:eastAsia="zh-CN"/>
              </w:rPr>
              <w:t>浙江群展精密紧固件股份有限公司</w:t>
            </w:r>
            <w:r>
              <w:t>出入库 (</w:t>
            </w:r>
            <w:r>
              <w:rPr>
                <w:rFonts w:hint="eastAsia"/>
                <w:lang w:eastAsia="zh-CN"/>
              </w:rPr>
              <w:t>2022</w:t>
            </w:r>
            <w:r>
              <w:t xml:space="preserve">年) 》产量数据作交叉验证，一致。确认《 </w:t>
            </w:r>
            <w:r>
              <w:rPr>
                <w:rFonts w:hint="eastAsia"/>
                <w:lang w:eastAsia="zh-CN"/>
              </w:rPr>
              <w:t>浙江群展精密紧固件股份有限公司</w:t>
            </w:r>
            <w:r>
              <w:t>出入库 (</w:t>
            </w:r>
            <w:r>
              <w:rPr>
                <w:rFonts w:hint="eastAsia"/>
                <w:lang w:eastAsia="zh-CN"/>
              </w:rPr>
              <w:t>2022</w:t>
            </w:r>
            <w:r>
              <w:t>年) 》产量数据正确。核查数据确认以《</w:t>
            </w:r>
            <w:r>
              <w:rPr>
                <w:rFonts w:hint="eastAsia"/>
                <w:lang w:eastAsia="zh-CN"/>
              </w:rPr>
              <w:t>浙江群展精密紧固件股份有限公司</w:t>
            </w:r>
            <w:r>
              <w:t>出入库 (</w:t>
            </w:r>
            <w:r>
              <w:rPr>
                <w:rFonts w:hint="eastAsia"/>
                <w:lang w:eastAsia="zh-CN"/>
              </w:rPr>
              <w:t>2022</w:t>
            </w:r>
            <w:r>
              <w:t>年) 》为准。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1" w:hRule="atLeast"/>
          <w:jc w:val="center"/>
        </w:trPr>
        <w:tc>
          <w:tcPr>
            <w:tcW w:w="1827"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p>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核查结论</w:t>
            </w:r>
          </w:p>
        </w:tc>
        <w:tc>
          <w:tcPr>
            <w:tcW w:w="7044"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pPr>
            <w:r>
              <w:t>《排放报告》未填报数据。受核查方通过现场核查确认了具体数据，确 认并接受核查数据作为《排放报告 (终版) 》数据。具体数据如下表所 示。</w:t>
            </w:r>
          </w:p>
        </w:tc>
      </w:tr>
    </w:tbl>
    <w:p>
      <w:pPr>
        <w:pStyle w:val="7"/>
        <w:bidi w:val="0"/>
      </w:pPr>
    </w:p>
    <w:p>
      <w:pPr>
        <w:pStyle w:val="4"/>
        <w:keepNext/>
        <w:keepLines/>
        <w:pageBreakBefore w:val="0"/>
        <w:widowControl/>
        <w:kinsoku/>
        <w:wordWrap/>
        <w:overflowPunct/>
        <w:topLinePunct w:val="0"/>
        <w:autoSpaceDE/>
        <w:autoSpaceDN/>
        <w:bidi w:val="0"/>
        <w:adjustRightInd/>
        <w:snapToGrid/>
        <w:spacing w:line="360" w:lineRule="auto"/>
        <w:textAlignment w:val="auto"/>
      </w:pPr>
      <w:bookmarkStart w:id="28" w:name="_bookmark15"/>
      <w:bookmarkEnd w:id="28"/>
      <w:bookmarkStart w:id="29" w:name="_Toc4039"/>
      <w:r>
        <w:t>3.2</w:t>
      </w:r>
      <w:r>
        <w:rPr>
          <w:rFonts w:hint="eastAsia"/>
          <w:lang w:val="en-US" w:eastAsia="zh-CN"/>
        </w:rPr>
        <w:t xml:space="preserve">  </w:t>
      </w:r>
      <w:r>
        <w:t>核算边界的核查</w:t>
      </w:r>
      <w:bookmarkEnd w:id="29"/>
    </w:p>
    <w:p>
      <w:pPr>
        <w:pStyle w:val="5"/>
        <w:keepNext/>
        <w:keepLines/>
        <w:pageBreakBefore w:val="0"/>
        <w:widowControl/>
        <w:kinsoku/>
        <w:wordWrap/>
        <w:overflowPunct/>
        <w:topLinePunct w:val="0"/>
        <w:autoSpaceDE/>
        <w:autoSpaceDN/>
        <w:bidi w:val="0"/>
        <w:adjustRightInd/>
        <w:snapToGrid/>
        <w:spacing w:line="360" w:lineRule="auto"/>
        <w:textAlignment w:val="auto"/>
      </w:pPr>
      <w:bookmarkStart w:id="30" w:name="_bookmark16"/>
      <w:bookmarkEnd w:id="30"/>
      <w:bookmarkStart w:id="31" w:name="_Toc8467"/>
      <w:r>
        <w:t>3.2.1企业边界</w:t>
      </w:r>
      <w:bookmarkEnd w:id="31"/>
    </w:p>
    <w:p>
      <w:pPr>
        <w:pStyle w:val="8"/>
        <w:keepNext w:val="0"/>
        <w:keepLines w:val="0"/>
        <w:pageBreakBefore w:val="0"/>
        <w:widowControl/>
        <w:kinsoku/>
        <w:wordWrap/>
        <w:overflowPunct/>
        <w:topLinePunct w:val="0"/>
        <w:autoSpaceDE/>
        <w:autoSpaceDN/>
        <w:bidi w:val="0"/>
        <w:adjustRightInd/>
        <w:snapToGrid/>
        <w:textAlignment w:val="top"/>
      </w:pPr>
      <w:r>
        <w:t>通过文件评审，以及现场核查过程中查阅相关资料、与受核查方代 表访谈等方式，核查组确认受核查方为独立法人，受核查方地理边界为 位于</w:t>
      </w:r>
      <w:r>
        <w:rPr>
          <w:rFonts w:hint="eastAsia"/>
          <w:lang w:eastAsia="zh-CN"/>
        </w:rPr>
        <w:t>浙江省嘉兴市秀洲工业区加拿大嘉兴科学工业区加创大道西</w:t>
      </w:r>
      <w:r>
        <w:t>。</w:t>
      </w:r>
    </w:p>
    <w:p>
      <w:pPr>
        <w:pStyle w:val="8"/>
        <w:keepNext w:val="0"/>
        <w:keepLines w:val="0"/>
        <w:pageBreakBefore w:val="0"/>
        <w:widowControl/>
        <w:kinsoku/>
        <w:wordWrap/>
        <w:overflowPunct/>
        <w:topLinePunct w:val="0"/>
        <w:autoSpaceDE/>
        <w:autoSpaceDN/>
        <w:bidi w:val="0"/>
        <w:adjustRightInd/>
        <w:snapToGrid/>
        <w:textAlignment w:val="top"/>
      </w:pPr>
      <w:r>
        <w:t>企业边界为受核查方所控制的所有直接生产系统、辅助生产系统、 以及直接为生产服务的附属生产系统。本报告直接生产系统包括</w:t>
      </w:r>
      <w:r>
        <w:rPr>
          <w:rFonts w:hint="eastAsia"/>
          <w:lang w:val="en-US" w:eastAsia="zh-CN"/>
        </w:rPr>
        <w:t>灯具车间、组装车间、SMT车间、MI车间、前加工车间</w:t>
      </w:r>
      <w:r>
        <w:t>等，辅助生产系统包括供电、供水、废水</w:t>
      </w:r>
      <w:r>
        <w:rPr>
          <w:rFonts w:hint="eastAsia"/>
          <w:lang w:val="en-US" w:eastAsia="zh-CN"/>
        </w:rPr>
        <w:t>处理设备</w:t>
      </w:r>
      <w:r>
        <w:t>、废气</w:t>
      </w:r>
      <w:r>
        <w:rPr>
          <w:rFonts w:hint="eastAsia"/>
          <w:lang w:val="en-US" w:eastAsia="zh-CN"/>
        </w:rPr>
        <w:t>处理设备</w:t>
      </w:r>
      <w:r>
        <w:t>等，附属生产系统包括办公楼、宿舍、食堂。不存在厂房以及设施设备的租用或租借的情况。</w:t>
      </w:r>
    </w:p>
    <w:p>
      <w:pPr>
        <w:pStyle w:val="8"/>
        <w:keepNext w:val="0"/>
        <w:keepLines w:val="0"/>
        <w:pageBreakBefore w:val="0"/>
        <w:widowControl/>
        <w:kinsoku/>
        <w:wordWrap/>
        <w:overflowPunct/>
        <w:topLinePunct w:val="0"/>
        <w:autoSpaceDE/>
        <w:autoSpaceDN/>
        <w:bidi w:val="0"/>
        <w:adjustRightInd/>
        <w:snapToGrid/>
        <w:textAlignment w:val="top"/>
      </w:pPr>
      <w:r>
        <w:t>综上所述，核查组确认企业边界与上一年度保持一致，《排放报告》的核算边界符合《核算指南》的要求。</w:t>
      </w:r>
    </w:p>
    <w:p>
      <w:pPr>
        <w:pStyle w:val="5"/>
        <w:bidi w:val="0"/>
      </w:pPr>
      <w:bookmarkStart w:id="32" w:name="_bookmark17"/>
      <w:bookmarkEnd w:id="32"/>
      <w:bookmarkStart w:id="33" w:name="_Toc26531"/>
      <w:r>
        <w:t>3.2.2排放源和能源种类</w:t>
      </w:r>
      <w:bookmarkEnd w:id="33"/>
    </w:p>
    <w:p>
      <w:pPr>
        <w:pStyle w:val="8"/>
        <w:bidi w:val="0"/>
      </w:pPr>
      <w:r>
        <w:t>通过文件评审及现场访问过程中查阅相关资料、与受核查方代表访谈，核查组确认核算边界内的排放源及气体种类如下表所示。</w:t>
      </w:r>
    </w:p>
    <w:p>
      <w:pPr>
        <w:pStyle w:val="7"/>
        <w:bidi w:val="0"/>
      </w:pPr>
      <w:r>
        <w:t>表3-6 主要排放源信息</w:t>
      </w:r>
    </w:p>
    <w:p>
      <w:pPr>
        <w:pStyle w:val="7"/>
        <w:bidi w:val="0"/>
      </w:pPr>
    </w:p>
    <w:tbl>
      <w:tblPr>
        <w:tblStyle w:val="16"/>
        <w:tblW w:w="8307" w:type="dxa"/>
        <w:tblInd w:w="1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79"/>
        <w:gridCol w:w="1972"/>
        <w:gridCol w:w="958"/>
        <w:gridCol w:w="1748"/>
        <w:gridCol w:w="1206"/>
        <w:gridCol w:w="164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779"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序号</w:t>
            </w:r>
          </w:p>
        </w:tc>
        <w:tc>
          <w:tcPr>
            <w:tcW w:w="1972"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排放种类</w:t>
            </w:r>
          </w:p>
        </w:tc>
        <w:tc>
          <w:tcPr>
            <w:tcW w:w="958"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能源品种</w:t>
            </w:r>
          </w:p>
        </w:tc>
        <w:tc>
          <w:tcPr>
            <w:tcW w:w="1748"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排放设施</w:t>
            </w:r>
          </w:p>
        </w:tc>
        <w:tc>
          <w:tcPr>
            <w:tcW w:w="1206"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地理位置</w:t>
            </w:r>
          </w:p>
        </w:tc>
        <w:tc>
          <w:tcPr>
            <w:tcW w:w="1644"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779"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1</w:t>
            </w:r>
          </w:p>
        </w:tc>
        <w:tc>
          <w:tcPr>
            <w:tcW w:w="1972"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燃料燃烧排放</w:t>
            </w:r>
          </w:p>
        </w:tc>
        <w:tc>
          <w:tcPr>
            <w:tcW w:w="958"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hint="eastAsia" w:ascii="Times New Roman" w:hAnsi="Times New Roman" w:eastAsia="宋体" w:cs="Times New Roman"/>
                <w:position w:val="14"/>
                <w:lang w:eastAsia="zh-CN"/>
              </w:rPr>
            </w:pPr>
            <w:r>
              <w:rPr>
                <w:rFonts w:hint="eastAsia" w:ascii="Times New Roman" w:hAnsi="Times New Roman" w:eastAsia="宋体" w:cs="Times New Roman"/>
                <w:position w:val="14"/>
                <w:lang w:val="en-US" w:eastAsia="zh-CN"/>
              </w:rPr>
              <w:t>天然气</w:t>
            </w:r>
          </w:p>
        </w:tc>
        <w:tc>
          <w:tcPr>
            <w:tcW w:w="1748"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ascii="Times New Roman" w:hAnsi="Times New Roman" w:eastAsia="宋体" w:cs="Times New Roman"/>
                <w:position w:val="14"/>
              </w:rPr>
            </w:pPr>
            <w:r>
              <w:rPr>
                <w:rFonts w:hint="eastAsia" w:cs="Times New Roman"/>
                <w:position w:val="14"/>
                <w:lang w:val="en-US" w:eastAsia="zh-CN"/>
              </w:rPr>
              <w:t>炉灶</w:t>
            </w:r>
          </w:p>
        </w:tc>
        <w:tc>
          <w:tcPr>
            <w:tcW w:w="1206"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ascii="Times New Roman" w:hAnsi="Times New Roman" w:eastAsia="宋体" w:cs="Times New Roman"/>
                <w:position w:val="14"/>
              </w:rPr>
            </w:pPr>
            <w:r>
              <w:rPr>
                <w:rFonts w:hint="eastAsia" w:cs="Times New Roman"/>
                <w:position w:val="14"/>
                <w:lang w:val="en-US" w:eastAsia="zh-CN"/>
              </w:rPr>
              <w:t>食堂</w:t>
            </w:r>
          </w:p>
        </w:tc>
        <w:tc>
          <w:tcPr>
            <w:tcW w:w="1644"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ascii="Times New Roman" w:hAnsi="Times New Roman" w:eastAsia="宋体" w:cs="Times New Roman"/>
                <w:position w:val="14"/>
              </w:rPr>
            </w:pPr>
            <w:r>
              <w:rPr>
                <w:rFonts w:hint="eastAsia" w:ascii="Times New Roman" w:hAnsi="Times New Roman" w:eastAsia="宋体" w:cs="Times New Roman"/>
                <w:position w:val="14"/>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6" w:hRule="atLeast"/>
        </w:trPr>
        <w:tc>
          <w:tcPr>
            <w:tcW w:w="779"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2</w:t>
            </w:r>
          </w:p>
        </w:tc>
        <w:tc>
          <w:tcPr>
            <w:tcW w:w="1972"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工业生产过程排放</w:t>
            </w:r>
          </w:p>
        </w:tc>
        <w:tc>
          <w:tcPr>
            <w:tcW w:w="958"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hint="default" w:ascii="Times New Roman" w:hAnsi="Times New Roman" w:eastAsia="宋体" w:cs="Times New Roman"/>
                <w:position w:val="14"/>
                <w:lang w:val="en-US" w:eastAsia="zh-CN"/>
              </w:rPr>
            </w:pPr>
            <w:r>
              <w:rPr>
                <w:rFonts w:hint="eastAsia" w:cs="Times New Roman"/>
                <w:position w:val="14"/>
                <w:lang w:val="en-US" w:eastAsia="zh-CN"/>
              </w:rPr>
              <w:t>/</w:t>
            </w:r>
          </w:p>
        </w:tc>
        <w:tc>
          <w:tcPr>
            <w:tcW w:w="1748"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hint="eastAsia" w:ascii="Times New Roman" w:hAnsi="Times New Roman" w:eastAsia="宋体" w:cs="Times New Roman"/>
                <w:position w:val="14"/>
                <w:lang w:val="en-US" w:eastAsia="zh-CN"/>
              </w:rPr>
            </w:pPr>
            <w:r>
              <w:rPr>
                <w:rFonts w:hint="eastAsia" w:cs="Times New Roman"/>
                <w:position w:val="14"/>
                <w:lang w:val="en-US" w:eastAsia="zh-CN"/>
              </w:rPr>
              <w:t>/</w:t>
            </w:r>
          </w:p>
        </w:tc>
        <w:tc>
          <w:tcPr>
            <w:tcW w:w="1206"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ascii="Times New Roman" w:hAnsi="Times New Roman" w:eastAsia="宋体" w:cs="Times New Roman"/>
                <w:position w:val="14"/>
              </w:rPr>
            </w:pPr>
            <w:r>
              <w:rPr>
                <w:rFonts w:hint="eastAsia" w:cs="Times New Roman"/>
                <w:position w:val="14"/>
                <w:lang w:val="en-US" w:eastAsia="zh-CN"/>
              </w:rPr>
              <w:t>/</w:t>
            </w:r>
          </w:p>
        </w:tc>
        <w:tc>
          <w:tcPr>
            <w:tcW w:w="1644" w:type="dxa"/>
            <w:vAlign w:val="center"/>
          </w:tcPr>
          <w:p>
            <w:pPr>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b/>
                <w:bCs/>
                <w:position w:val="14"/>
              </w:rPr>
            </w:pPr>
            <w:r>
              <w:rPr>
                <w:rFonts w:hint="eastAsia" w:ascii="Times New Roman" w:hAnsi="Times New Roman" w:eastAsia="宋体" w:cs="Times New Roman"/>
                <w:b/>
                <w:bCs/>
                <w:position w:val="14"/>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trPr>
        <w:tc>
          <w:tcPr>
            <w:tcW w:w="779"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3</w:t>
            </w:r>
          </w:p>
        </w:tc>
        <w:tc>
          <w:tcPr>
            <w:tcW w:w="1972" w:type="dxa"/>
            <w:vAlign w:val="center"/>
          </w:tcPr>
          <w:p>
            <w:pPr>
              <w:pStyle w:val="17"/>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position w:val="14"/>
              </w:rPr>
            </w:pPr>
            <w:r>
              <w:rPr>
                <w:rFonts w:ascii="Times New Roman" w:hAnsi="Times New Roman" w:eastAsia="宋体" w:cs="Times New Roman"/>
                <w:position w:val="14"/>
              </w:rPr>
              <w:t>CO</w:t>
            </w:r>
            <w:r>
              <w:rPr>
                <w:rFonts w:ascii="Times New Roman" w:hAnsi="Times New Roman" w:eastAsia="宋体" w:cs="Times New Roman"/>
                <w:position w:val="14"/>
                <w:vertAlign w:val="subscript"/>
              </w:rPr>
              <w:t xml:space="preserve">2 </w:t>
            </w:r>
            <w:r>
              <w:rPr>
                <w:rFonts w:ascii="Times New Roman" w:hAnsi="Times New Roman" w:eastAsia="宋体" w:cs="Times New Roman"/>
                <w:position w:val="14"/>
              </w:rPr>
              <w:t>回收利用量</w:t>
            </w:r>
          </w:p>
        </w:tc>
        <w:tc>
          <w:tcPr>
            <w:tcW w:w="958" w:type="dxa"/>
            <w:vAlign w:val="center"/>
          </w:tcPr>
          <w:p>
            <w:pPr>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b/>
                <w:bCs/>
                <w:position w:val="14"/>
              </w:rPr>
            </w:pPr>
            <w:r>
              <w:rPr>
                <w:rFonts w:hint="eastAsia" w:ascii="Times New Roman" w:hAnsi="Times New Roman" w:eastAsia="宋体" w:cs="Times New Roman"/>
                <w:b/>
                <w:bCs/>
                <w:position w:val="14"/>
                <w:lang w:val="en-US" w:eastAsia="zh-CN"/>
              </w:rPr>
              <w:t>/</w:t>
            </w:r>
          </w:p>
        </w:tc>
        <w:tc>
          <w:tcPr>
            <w:tcW w:w="1748" w:type="dxa"/>
            <w:vAlign w:val="center"/>
          </w:tcPr>
          <w:p>
            <w:pPr>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b/>
                <w:bCs/>
                <w:position w:val="14"/>
              </w:rPr>
            </w:pPr>
            <w:r>
              <w:rPr>
                <w:rFonts w:hint="eastAsia" w:ascii="Times New Roman" w:hAnsi="Times New Roman" w:eastAsia="宋体" w:cs="Times New Roman"/>
                <w:b/>
                <w:bCs/>
                <w:position w:val="14"/>
                <w:lang w:val="en-US" w:eastAsia="zh-CN"/>
              </w:rPr>
              <w:t>/</w:t>
            </w:r>
          </w:p>
        </w:tc>
        <w:tc>
          <w:tcPr>
            <w:tcW w:w="1206" w:type="dxa"/>
            <w:vAlign w:val="center"/>
          </w:tcPr>
          <w:p>
            <w:pPr>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b/>
                <w:bCs/>
                <w:position w:val="14"/>
              </w:rPr>
            </w:pPr>
            <w:r>
              <w:rPr>
                <w:rFonts w:hint="eastAsia" w:ascii="Times New Roman" w:hAnsi="Times New Roman" w:eastAsia="宋体" w:cs="Times New Roman"/>
                <w:b/>
                <w:bCs/>
                <w:position w:val="14"/>
                <w:lang w:val="en-US" w:eastAsia="zh-CN"/>
              </w:rPr>
              <w:t>/</w:t>
            </w:r>
          </w:p>
        </w:tc>
        <w:tc>
          <w:tcPr>
            <w:tcW w:w="1644" w:type="dxa"/>
            <w:vAlign w:val="center"/>
          </w:tcPr>
          <w:p>
            <w:pPr>
              <w:keepNext w:val="0"/>
              <w:keepLines w:val="0"/>
              <w:pageBreakBefore w:val="0"/>
              <w:widowControl/>
              <w:kinsoku w:val="0"/>
              <w:wordWrap/>
              <w:overflowPunct/>
              <w:topLinePunct w:val="0"/>
              <w:autoSpaceDE w:val="0"/>
              <w:autoSpaceDN w:val="0"/>
              <w:bidi w:val="0"/>
              <w:adjustRightInd/>
              <w:snapToGrid/>
              <w:jc w:val="center"/>
              <w:textAlignment w:val="center"/>
              <w:rPr>
                <w:rFonts w:ascii="Times New Roman" w:hAnsi="Times New Roman" w:eastAsia="宋体" w:cs="Times New Roman"/>
                <w:b/>
                <w:bCs/>
                <w:position w:val="14"/>
              </w:rPr>
            </w:pPr>
            <w:r>
              <w:rPr>
                <w:rFonts w:hint="eastAsia" w:ascii="Times New Roman" w:hAnsi="Times New Roman" w:eastAsia="宋体" w:cs="Times New Roman"/>
                <w:b/>
                <w:bCs/>
                <w:position w:val="14"/>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trPr>
        <w:tc>
          <w:tcPr>
            <w:tcW w:w="779"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ascii="Times New Roman" w:hAnsi="Times New Roman" w:eastAsia="宋体" w:cs="Times New Roman"/>
                <w:snapToGrid w:val="0"/>
                <w:color w:val="000000"/>
                <w:spacing w:val="-6"/>
                <w:kern w:val="0"/>
                <w:position w:val="14"/>
                <w:sz w:val="24"/>
                <w:szCs w:val="24"/>
              </w:rPr>
            </w:pPr>
            <w:r>
              <w:rPr>
                <w:rFonts w:ascii="Times New Roman" w:hAnsi="Times New Roman" w:eastAsia="宋体" w:cs="Times New Roman"/>
                <w:position w:val="14"/>
              </w:rPr>
              <w:t>4</w:t>
            </w:r>
          </w:p>
        </w:tc>
        <w:tc>
          <w:tcPr>
            <w:tcW w:w="1972"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ascii="Times New Roman" w:hAnsi="Times New Roman" w:eastAsia="宋体" w:cs="Times New Roman"/>
                <w:snapToGrid w:val="0"/>
                <w:color w:val="000000"/>
                <w:spacing w:val="-6"/>
                <w:kern w:val="0"/>
                <w:position w:val="14"/>
                <w:sz w:val="24"/>
                <w:szCs w:val="24"/>
              </w:rPr>
            </w:pPr>
            <w:r>
              <w:rPr>
                <w:rFonts w:ascii="Times New Roman" w:hAnsi="Times New Roman" w:eastAsia="宋体" w:cs="Times New Roman"/>
                <w:position w:val="14"/>
              </w:rPr>
              <w:t>净购入的电力消费 引起的CO</w:t>
            </w:r>
            <w:r>
              <w:rPr>
                <w:rFonts w:ascii="Times New Roman" w:hAnsi="Times New Roman" w:eastAsia="宋体" w:cs="Times New Roman"/>
                <w:position w:val="14"/>
                <w:vertAlign w:val="subscript"/>
              </w:rPr>
              <w:t>2</w:t>
            </w:r>
            <w:r>
              <w:rPr>
                <w:rFonts w:ascii="Times New Roman" w:hAnsi="Times New Roman" w:eastAsia="宋体" w:cs="Times New Roman"/>
                <w:position w:val="14"/>
              </w:rPr>
              <w:t>排放</w:t>
            </w:r>
          </w:p>
        </w:tc>
        <w:tc>
          <w:tcPr>
            <w:tcW w:w="958"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ascii="Times New Roman" w:hAnsi="Times New Roman" w:eastAsia="宋体" w:cs="Times New Roman"/>
                <w:snapToGrid w:val="0"/>
                <w:color w:val="000000"/>
                <w:spacing w:val="-6"/>
                <w:kern w:val="0"/>
                <w:position w:val="14"/>
                <w:sz w:val="24"/>
                <w:szCs w:val="24"/>
              </w:rPr>
            </w:pPr>
            <w:r>
              <w:rPr>
                <w:rFonts w:ascii="Times New Roman" w:hAnsi="Times New Roman" w:eastAsia="宋体" w:cs="Times New Roman"/>
                <w:position w:val="14"/>
              </w:rPr>
              <w:t>电力</w:t>
            </w:r>
          </w:p>
        </w:tc>
        <w:tc>
          <w:tcPr>
            <w:tcW w:w="1748"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ascii="Times New Roman" w:hAnsi="Times New Roman" w:eastAsia="宋体" w:cs="Times New Roman"/>
                <w:snapToGrid w:val="0"/>
                <w:color w:val="000000"/>
                <w:spacing w:val="-6"/>
                <w:kern w:val="0"/>
                <w:position w:val="14"/>
                <w:sz w:val="24"/>
                <w:szCs w:val="24"/>
              </w:rPr>
            </w:pPr>
            <w:r>
              <w:rPr>
                <w:rFonts w:ascii="Times New Roman" w:hAnsi="Times New Roman" w:eastAsia="宋体" w:cs="Times New Roman"/>
                <w:position w:val="14"/>
              </w:rPr>
              <w:t>用电设备</w:t>
            </w:r>
          </w:p>
        </w:tc>
        <w:tc>
          <w:tcPr>
            <w:tcW w:w="1206"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ascii="Times New Roman" w:hAnsi="Times New Roman" w:eastAsia="宋体" w:cs="Times New Roman"/>
                <w:snapToGrid w:val="0"/>
                <w:color w:val="000000"/>
                <w:spacing w:val="-6"/>
                <w:kern w:val="0"/>
                <w:position w:val="14"/>
                <w:sz w:val="24"/>
                <w:szCs w:val="24"/>
              </w:rPr>
            </w:pPr>
            <w:r>
              <w:rPr>
                <w:rFonts w:ascii="Times New Roman" w:hAnsi="Times New Roman" w:eastAsia="宋体" w:cs="Times New Roman"/>
                <w:position w:val="14"/>
              </w:rPr>
              <w:t>厂区内</w:t>
            </w:r>
          </w:p>
        </w:tc>
        <w:tc>
          <w:tcPr>
            <w:tcW w:w="1644" w:type="dxa"/>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center"/>
              <w:rPr>
                <w:rFonts w:ascii="Times New Roman" w:hAnsi="Times New Roman" w:eastAsia="宋体" w:cs="Times New Roman"/>
                <w:b/>
                <w:bCs/>
                <w:snapToGrid w:val="0"/>
                <w:color w:val="000000"/>
                <w:spacing w:val="-6"/>
                <w:kern w:val="0"/>
                <w:position w:val="14"/>
                <w:sz w:val="24"/>
                <w:szCs w:val="24"/>
              </w:rPr>
            </w:pPr>
            <w:r>
              <w:rPr>
                <w:rFonts w:hint="eastAsia" w:ascii="Times New Roman" w:hAnsi="Times New Roman" w:eastAsia="宋体" w:cs="Times New Roman"/>
                <w:b/>
                <w:bCs/>
                <w:position w:val="14"/>
                <w:lang w:val="en-US" w:eastAsia="zh-CN"/>
              </w:rPr>
              <w:t>/</w:t>
            </w:r>
          </w:p>
        </w:tc>
      </w:tr>
    </w:tbl>
    <w:p>
      <w:pPr>
        <w:pStyle w:val="7"/>
        <w:bidi w:val="0"/>
        <w:jc w:val="both"/>
      </w:pPr>
      <w:r>
        <w:t>备注：受核查方生产为</w:t>
      </w:r>
      <w:r>
        <w:rPr>
          <w:rFonts w:hint="eastAsia"/>
          <w:lang w:val="en-US" w:eastAsia="zh-CN"/>
        </w:rPr>
        <w:t>LED</w:t>
      </w:r>
      <w:r>
        <w:t>制造过程，不涉及CO</w:t>
      </w:r>
      <w:r>
        <w:rPr>
          <w:vertAlign w:val="subscript"/>
        </w:rPr>
        <w:t>2</w:t>
      </w:r>
      <w:r>
        <w:t>反应，且无碳酸盐使用 ，无工业过程CO</w:t>
      </w:r>
      <w:r>
        <w:rPr>
          <w:vertAlign w:val="subscript"/>
        </w:rPr>
        <w:t>2</w:t>
      </w:r>
      <w:r>
        <w:t>排放。</w:t>
      </w:r>
    </w:p>
    <w:p>
      <w:pPr>
        <w:pStyle w:val="8"/>
        <w:bidi w:val="0"/>
      </w:pPr>
      <w:r>
        <w:t>核查组确认受核查方的排放源和能源种类与上一年度保持一致。受核查方排放源识别符合核算指南的要求，并将其作为《排放报告 (终版 ) 》的内容。</w:t>
      </w:r>
    </w:p>
    <w:p>
      <w:pPr>
        <w:pStyle w:val="4"/>
        <w:bidi w:val="0"/>
      </w:pPr>
      <w:bookmarkStart w:id="34" w:name="_bookmark18"/>
      <w:bookmarkEnd w:id="34"/>
      <w:bookmarkStart w:id="35" w:name="_Toc23173"/>
      <w:r>
        <w:t>3.3</w:t>
      </w:r>
      <w:r>
        <w:rPr>
          <w:rFonts w:hint="eastAsia"/>
          <w:lang w:val="en-US" w:eastAsia="zh-CN"/>
        </w:rPr>
        <w:t xml:space="preserve">  </w:t>
      </w:r>
      <w:r>
        <w:t>核算方法的核查</w:t>
      </w:r>
      <w:bookmarkEnd w:id="35"/>
    </w:p>
    <w:p>
      <w:pPr>
        <w:pStyle w:val="8"/>
        <w:bidi w:val="0"/>
        <w:rPr>
          <w:rFonts w:ascii="宋体" w:hAnsi="宋体" w:eastAsia="宋体" w:cs="宋体"/>
          <w:sz w:val="28"/>
          <w:szCs w:val="28"/>
        </w:rPr>
      </w:pPr>
      <w:r>
        <w:t>核查组确认《排放报告》中的温室气体排放采用如下核算方法：</w:t>
      </w:r>
      <w:r>
        <w:rPr>
          <w:rStyle w:val="19"/>
        </w:rPr>
        <w:t xml:space="preserve"> </w:t>
      </w:r>
      <w:r>
        <w:rPr>
          <w:rFonts w:ascii="Times New Roman" w:hAnsi="Times New Roman" w:eastAsia="Times New Roman" w:cs="Times New Roman"/>
          <w:sz w:val="28"/>
          <w:szCs w:val="28"/>
        </w:rPr>
        <w:t>E</w:t>
      </w:r>
      <w:r>
        <w:rPr>
          <w:rFonts w:ascii="Times New Roman" w:hAnsi="Times New Roman" w:eastAsia="Times New Roman" w:cs="Times New Roman"/>
          <w:position w:val="-2"/>
          <w:sz w:val="17"/>
          <w:szCs w:val="17"/>
        </w:rPr>
        <w:t>GHG</w:t>
      </w:r>
      <w:r>
        <w:rPr>
          <w:rFonts w:ascii="Times New Roman" w:hAnsi="Times New Roman" w:eastAsia="Times New Roman" w:cs="Times New Roman"/>
          <w:spacing w:val="8"/>
          <w:sz w:val="28"/>
          <w:szCs w:val="28"/>
        </w:rPr>
        <w:t>=</w:t>
      </w:r>
      <w:r>
        <w:rPr>
          <w:rFonts w:ascii="Times New Roman" w:hAnsi="Times New Roman" w:eastAsia="Times New Roman" w:cs="Times New Roman"/>
          <w:sz w:val="28"/>
          <w:szCs w:val="28"/>
        </w:rPr>
        <w:t>E</w:t>
      </w:r>
      <w:r>
        <w:rPr>
          <w:rFonts w:ascii="Times New Roman" w:hAnsi="Times New Roman" w:eastAsia="Times New Roman" w:cs="Times New Roman"/>
          <w:spacing w:val="5"/>
          <w:sz w:val="28"/>
          <w:szCs w:val="28"/>
        </w:rPr>
        <w:t xml:space="preserve"> </w:t>
      </w:r>
      <w:r>
        <w:rPr>
          <w:rFonts w:ascii="宋体" w:hAnsi="宋体" w:eastAsia="宋体" w:cs="宋体"/>
          <w:spacing w:val="5"/>
          <w:sz w:val="13"/>
          <w:szCs w:val="13"/>
        </w:rPr>
        <w:t>燃烧</w:t>
      </w:r>
      <w:r>
        <w:rPr>
          <w:rFonts w:ascii="Times New Roman" w:hAnsi="Times New Roman" w:eastAsia="Times New Roman" w:cs="Times New Roman"/>
          <w:spacing w:val="5"/>
          <w:sz w:val="28"/>
          <w:szCs w:val="28"/>
        </w:rPr>
        <w:t>+</w:t>
      </w:r>
      <w:r>
        <w:rPr>
          <w:rFonts w:ascii="Times New Roman" w:hAnsi="Times New Roman" w:eastAsia="Times New Roman" w:cs="Times New Roman"/>
          <w:sz w:val="28"/>
          <w:szCs w:val="28"/>
        </w:rPr>
        <w:t>E</w:t>
      </w:r>
      <w:r>
        <w:rPr>
          <w:rFonts w:ascii="Times New Roman" w:hAnsi="Times New Roman" w:eastAsia="Times New Roman" w:cs="Times New Roman"/>
          <w:spacing w:val="5"/>
          <w:sz w:val="28"/>
          <w:szCs w:val="28"/>
        </w:rPr>
        <w:t xml:space="preserve"> </w:t>
      </w:r>
      <w:r>
        <w:rPr>
          <w:rFonts w:ascii="宋体" w:hAnsi="宋体" w:eastAsia="宋体" w:cs="宋体"/>
          <w:spacing w:val="5"/>
          <w:sz w:val="13"/>
          <w:szCs w:val="13"/>
        </w:rPr>
        <w:t>过程</w:t>
      </w:r>
      <w:r>
        <w:rPr>
          <w:rFonts w:ascii="Times New Roman" w:hAnsi="Times New Roman" w:eastAsia="Times New Roman" w:cs="Times New Roman"/>
          <w:spacing w:val="5"/>
          <w:sz w:val="28"/>
          <w:szCs w:val="28"/>
        </w:rPr>
        <w:t>+</w:t>
      </w:r>
      <w:r>
        <w:rPr>
          <w:rFonts w:ascii="Times New Roman" w:hAnsi="Times New Roman" w:eastAsia="Times New Roman" w:cs="Times New Roman"/>
          <w:sz w:val="28"/>
          <w:szCs w:val="28"/>
        </w:rPr>
        <w:t>E</w:t>
      </w:r>
      <w:r>
        <w:rPr>
          <w:rFonts w:ascii="Times New Roman" w:hAnsi="Times New Roman" w:eastAsia="Times New Roman" w:cs="Times New Roman"/>
          <w:spacing w:val="5"/>
          <w:sz w:val="28"/>
          <w:szCs w:val="28"/>
        </w:rPr>
        <w:t xml:space="preserve"> </w:t>
      </w:r>
      <w:r>
        <w:rPr>
          <w:rFonts w:ascii="宋体" w:hAnsi="宋体" w:eastAsia="宋体" w:cs="宋体"/>
          <w:spacing w:val="5"/>
          <w:sz w:val="13"/>
          <w:szCs w:val="13"/>
        </w:rPr>
        <w:t>电力</w:t>
      </w:r>
      <w:r>
        <w:rPr>
          <w:rFonts w:ascii="Times New Roman" w:hAnsi="Times New Roman" w:eastAsia="Times New Roman" w:cs="Times New Roman"/>
          <w:spacing w:val="5"/>
          <w:sz w:val="28"/>
          <w:szCs w:val="28"/>
        </w:rPr>
        <w:t>+</w:t>
      </w:r>
      <w:r>
        <w:rPr>
          <w:rFonts w:ascii="Times New Roman" w:hAnsi="Times New Roman" w:eastAsia="Times New Roman" w:cs="Times New Roman"/>
          <w:sz w:val="28"/>
          <w:szCs w:val="28"/>
        </w:rPr>
        <w:t>E</w:t>
      </w:r>
      <w:r>
        <w:rPr>
          <w:rFonts w:ascii="Times New Roman" w:hAnsi="Times New Roman" w:eastAsia="Times New Roman" w:cs="Times New Roman"/>
          <w:spacing w:val="5"/>
          <w:sz w:val="28"/>
          <w:szCs w:val="28"/>
        </w:rPr>
        <w:t xml:space="preserve"> </w:t>
      </w:r>
      <w:r>
        <w:rPr>
          <w:rFonts w:ascii="宋体" w:hAnsi="宋体" w:eastAsia="宋体" w:cs="宋体"/>
          <w:spacing w:val="5"/>
          <w:sz w:val="13"/>
          <w:szCs w:val="13"/>
        </w:rPr>
        <w:t xml:space="preserve">热力  </w:t>
      </w:r>
      <w:r>
        <w:rPr>
          <w:rFonts w:ascii="宋体" w:hAnsi="宋体" w:eastAsia="宋体" w:cs="宋体"/>
          <w:spacing w:val="5"/>
          <w:sz w:val="28"/>
          <w:szCs w:val="28"/>
        </w:rPr>
        <w:t>(</w:t>
      </w:r>
      <w:r>
        <w:rPr>
          <w:rFonts w:ascii="Times New Roman" w:hAnsi="Times New Roman" w:eastAsia="Times New Roman" w:cs="Times New Roman"/>
          <w:spacing w:val="5"/>
          <w:sz w:val="28"/>
          <w:szCs w:val="28"/>
        </w:rPr>
        <w:t>1</w:t>
      </w:r>
      <w:r>
        <w:rPr>
          <w:rFonts w:ascii="宋体" w:hAnsi="宋体" w:eastAsia="宋体" w:cs="宋体"/>
          <w:spacing w:val="5"/>
          <w:sz w:val="28"/>
          <w:szCs w:val="28"/>
        </w:rPr>
        <w:t>)</w:t>
      </w:r>
    </w:p>
    <w:p>
      <w:pPr>
        <w:spacing w:before="1" w:line="220" w:lineRule="auto"/>
        <w:ind w:left="47"/>
        <w:rPr>
          <w:rFonts w:ascii="宋体" w:hAnsi="宋体" w:eastAsia="宋体" w:cs="宋体"/>
          <w:sz w:val="28"/>
          <w:szCs w:val="28"/>
        </w:rPr>
      </w:pPr>
      <w:r>
        <w:rPr>
          <w:rFonts w:ascii="宋体" w:hAnsi="宋体" w:eastAsia="宋体" w:cs="宋体"/>
          <w:spacing w:val="-5"/>
          <w:sz w:val="28"/>
          <w:szCs w:val="28"/>
        </w:rPr>
        <w:t>式中：</w:t>
      </w:r>
    </w:p>
    <w:p>
      <w:pPr>
        <w:spacing w:before="183" w:line="378" w:lineRule="exact"/>
        <w:ind w:left="36"/>
        <w:rPr>
          <w:rFonts w:ascii="宋体" w:hAnsi="宋体" w:eastAsia="宋体" w:cs="宋体"/>
          <w:sz w:val="28"/>
          <w:szCs w:val="28"/>
        </w:rPr>
      </w:pPr>
      <w:r>
        <w:rPr>
          <w:rFonts w:ascii="Times New Roman" w:hAnsi="Times New Roman" w:eastAsia="Times New Roman" w:cs="Times New Roman"/>
          <w:position w:val="1"/>
          <w:sz w:val="28"/>
          <w:szCs w:val="28"/>
        </w:rPr>
        <w:t>E</w:t>
      </w:r>
      <w:r>
        <w:rPr>
          <w:rFonts w:ascii="Times New Roman" w:hAnsi="Times New Roman" w:eastAsia="Times New Roman" w:cs="Times New Roman"/>
          <w:position w:val="-1"/>
          <w:sz w:val="17"/>
          <w:szCs w:val="17"/>
        </w:rPr>
        <w:t>GHG</w:t>
      </w:r>
      <w:r>
        <w:rPr>
          <w:rFonts w:ascii="Times New Roman" w:hAnsi="Times New Roman" w:eastAsia="Times New Roman" w:cs="Times New Roman"/>
          <w:spacing w:val="3"/>
          <w:position w:val="-1"/>
          <w:sz w:val="17"/>
          <w:szCs w:val="17"/>
        </w:rPr>
        <w:t xml:space="preserve">             </w:t>
      </w:r>
      <w:r>
        <w:rPr>
          <w:rFonts w:ascii="宋体" w:hAnsi="宋体" w:eastAsia="宋体" w:cs="宋体"/>
          <w:spacing w:val="3"/>
          <w:position w:val="1"/>
          <w:sz w:val="28"/>
          <w:szCs w:val="28"/>
        </w:rPr>
        <w:t>企业温室气体排放总量，单位为</w:t>
      </w:r>
      <w:r>
        <w:rPr>
          <w:rFonts w:ascii="Times New Roman" w:hAnsi="Times New Roman" w:eastAsia="Times New Roman" w:cs="Times New Roman"/>
          <w:position w:val="1"/>
          <w:sz w:val="28"/>
          <w:szCs w:val="28"/>
        </w:rPr>
        <w:t>tCO</w:t>
      </w:r>
      <w:r>
        <w:rPr>
          <w:rFonts w:ascii="Times New Roman" w:hAnsi="Times New Roman" w:eastAsia="Times New Roman" w:cs="Times New Roman"/>
          <w:spacing w:val="3"/>
          <w:position w:val="-1"/>
          <w:sz w:val="17"/>
          <w:szCs w:val="17"/>
        </w:rPr>
        <w:t>2</w:t>
      </w:r>
      <w:r>
        <w:rPr>
          <w:rFonts w:ascii="Times New Roman" w:hAnsi="Times New Roman" w:eastAsia="Times New Roman" w:cs="Times New Roman"/>
          <w:position w:val="1"/>
          <w:sz w:val="28"/>
          <w:szCs w:val="28"/>
        </w:rPr>
        <w:t>e</w:t>
      </w:r>
      <w:r>
        <w:rPr>
          <w:rFonts w:ascii="宋体" w:hAnsi="宋体" w:eastAsia="宋体" w:cs="宋体"/>
          <w:spacing w:val="3"/>
          <w:position w:val="1"/>
          <w:sz w:val="28"/>
          <w:szCs w:val="28"/>
        </w:rPr>
        <w:t>；</w:t>
      </w:r>
    </w:p>
    <w:p>
      <w:pPr>
        <w:spacing w:before="191" w:line="378" w:lineRule="exact"/>
        <w:ind w:left="36"/>
        <w:rPr>
          <w:rFonts w:ascii="宋体" w:hAnsi="宋体" w:eastAsia="宋体" w:cs="宋体"/>
          <w:sz w:val="28"/>
          <w:szCs w:val="28"/>
        </w:rPr>
      </w:pPr>
      <w:r>
        <w:rPr>
          <w:rFonts w:ascii="Times New Roman" w:hAnsi="Times New Roman" w:eastAsia="Times New Roman" w:cs="Times New Roman"/>
          <w:position w:val="1"/>
          <w:sz w:val="28"/>
          <w:szCs w:val="28"/>
        </w:rPr>
        <w:t>E</w:t>
      </w:r>
      <w:r>
        <w:rPr>
          <w:rFonts w:ascii="Times New Roman" w:hAnsi="Times New Roman" w:eastAsia="Times New Roman" w:cs="Times New Roman"/>
          <w:spacing w:val="1"/>
          <w:position w:val="1"/>
          <w:sz w:val="28"/>
          <w:szCs w:val="28"/>
        </w:rPr>
        <w:t xml:space="preserve"> </w:t>
      </w:r>
      <w:r>
        <w:rPr>
          <w:rFonts w:ascii="宋体" w:hAnsi="宋体" w:eastAsia="宋体" w:cs="宋体"/>
          <w:spacing w:val="1"/>
          <w:position w:val="1"/>
          <w:sz w:val="13"/>
          <w:szCs w:val="13"/>
        </w:rPr>
        <w:t xml:space="preserve">燃烧         </w:t>
      </w:r>
      <w:r>
        <w:rPr>
          <w:rFonts w:ascii="宋体" w:hAnsi="宋体" w:eastAsia="宋体" w:cs="宋体"/>
          <w:spacing w:val="1"/>
          <w:position w:val="1"/>
          <w:sz w:val="28"/>
          <w:szCs w:val="28"/>
        </w:rPr>
        <w:t xml:space="preserve">企业化石燃料燃烧活动产生的 </w:t>
      </w:r>
      <w:r>
        <w:rPr>
          <w:rFonts w:ascii="Times New Roman" w:hAnsi="Times New Roman" w:eastAsia="Times New Roman" w:cs="Times New Roman"/>
          <w:position w:val="1"/>
          <w:sz w:val="28"/>
          <w:szCs w:val="28"/>
        </w:rPr>
        <w:t>CO</w:t>
      </w:r>
      <w:r>
        <w:rPr>
          <w:rFonts w:ascii="Times New Roman" w:hAnsi="Times New Roman" w:eastAsia="Times New Roman" w:cs="Times New Roman"/>
          <w:spacing w:val="1"/>
          <w:position w:val="-1"/>
          <w:sz w:val="17"/>
          <w:szCs w:val="17"/>
        </w:rPr>
        <w:t xml:space="preserve">2 </w:t>
      </w:r>
      <w:r>
        <w:rPr>
          <w:rFonts w:ascii="宋体" w:hAnsi="宋体" w:eastAsia="宋体" w:cs="宋体"/>
          <w:spacing w:val="1"/>
          <w:position w:val="1"/>
          <w:sz w:val="28"/>
          <w:szCs w:val="28"/>
        </w:rPr>
        <w:t>排</w:t>
      </w:r>
      <w:r>
        <w:rPr>
          <w:rFonts w:ascii="宋体" w:hAnsi="宋体" w:eastAsia="宋体" w:cs="宋体"/>
          <w:position w:val="1"/>
          <w:sz w:val="28"/>
          <w:szCs w:val="28"/>
        </w:rPr>
        <w:t>放，单位为</w:t>
      </w:r>
      <w:r>
        <w:rPr>
          <w:rFonts w:ascii="Times New Roman" w:hAnsi="Times New Roman" w:eastAsia="Times New Roman" w:cs="Times New Roman"/>
          <w:position w:val="1"/>
          <w:sz w:val="28"/>
          <w:szCs w:val="28"/>
        </w:rPr>
        <w:t>tCO</w:t>
      </w:r>
      <w:r>
        <w:rPr>
          <w:rFonts w:ascii="Times New Roman" w:hAnsi="Times New Roman" w:eastAsia="Times New Roman" w:cs="Times New Roman"/>
          <w:position w:val="-1"/>
          <w:sz w:val="17"/>
          <w:szCs w:val="17"/>
        </w:rPr>
        <w:t>2</w:t>
      </w:r>
      <w:r>
        <w:rPr>
          <w:rFonts w:ascii="宋体" w:hAnsi="宋体" w:eastAsia="宋体" w:cs="宋体"/>
          <w:position w:val="1"/>
          <w:sz w:val="28"/>
          <w:szCs w:val="28"/>
        </w:rPr>
        <w:t>；</w:t>
      </w:r>
    </w:p>
    <w:p>
      <w:pPr>
        <w:spacing w:before="244" w:line="199" w:lineRule="auto"/>
        <w:ind w:left="1155"/>
        <w:rPr>
          <w:rFonts w:ascii="宋体" w:hAnsi="宋体" w:eastAsia="宋体" w:cs="宋体"/>
          <w:sz w:val="28"/>
          <w:szCs w:val="28"/>
        </w:rPr>
      </w:pPr>
      <w:r>
        <w:rPr>
          <w:rFonts w:ascii="宋体" w:hAnsi="宋体" w:eastAsia="宋体" w:cs="宋体"/>
          <w:spacing w:val="-1"/>
          <w:sz w:val="28"/>
          <w:szCs w:val="28"/>
        </w:rPr>
        <w:t>企业边界内工业生产过程各种温室</w:t>
      </w:r>
      <w:r>
        <w:rPr>
          <w:rFonts w:ascii="宋体" w:hAnsi="宋体" w:eastAsia="宋体" w:cs="宋体"/>
          <w:sz w:val="28"/>
          <w:szCs w:val="28"/>
        </w:rPr>
        <w:t>气体的排放量，单位为</w:t>
      </w:r>
    </w:p>
    <w:p>
      <w:pPr>
        <w:spacing w:before="1" w:line="190" w:lineRule="auto"/>
        <w:ind w:left="36"/>
        <w:rPr>
          <w:rFonts w:ascii="宋体" w:hAnsi="宋体" w:eastAsia="宋体" w:cs="宋体"/>
          <w:sz w:val="13"/>
          <w:szCs w:val="13"/>
        </w:rPr>
      </w:pPr>
      <w:r>
        <w:pict>
          <v:shape id="_x0000_s1027" o:spid="_x0000_s1027" o:spt="202" type="#_x0000_t202" style="position:absolute;left:0pt;margin-left:56.1pt;margin-top:5.9pt;height:20.9pt;width:40.45pt;z-index:251662336;mso-width-relative:page;mso-height-relative:page;" filled="f" stroked="f" coordsize="21600,21600">
            <v:path/>
            <v:fill on="f" focussize="0,0"/>
            <v:stroke on="f"/>
            <v:imagedata o:title=""/>
            <o:lock v:ext="edit" aspectratio="f"/>
            <v:textbox inset="0mm,0mm,0mm,0mm">
              <w:txbxContent>
                <w:p>
                  <w:pPr>
                    <w:spacing w:before="20" w:line="377" w:lineRule="exact"/>
                    <w:ind w:left="20"/>
                    <w:rPr>
                      <w:rFonts w:ascii="宋体" w:hAnsi="宋体" w:eastAsia="宋体" w:cs="宋体"/>
                      <w:sz w:val="28"/>
                      <w:szCs w:val="28"/>
                    </w:rPr>
                  </w:pPr>
                  <w:r>
                    <w:rPr>
                      <w:rFonts w:ascii="Times New Roman" w:hAnsi="Times New Roman" w:eastAsia="Times New Roman" w:cs="Times New Roman"/>
                      <w:spacing w:val="-12"/>
                      <w:position w:val="4"/>
                      <w:sz w:val="28"/>
                      <w:szCs w:val="28"/>
                    </w:rPr>
                    <w:t>tCO</w:t>
                  </w:r>
                  <w:r>
                    <w:rPr>
                      <w:rFonts w:ascii="Times New Roman" w:hAnsi="Times New Roman" w:eastAsia="Times New Roman" w:cs="Times New Roman"/>
                      <w:spacing w:val="-16"/>
                      <w:position w:val="2"/>
                      <w:sz w:val="17"/>
                      <w:szCs w:val="17"/>
                    </w:rPr>
                    <w:t>2</w:t>
                  </w:r>
                  <w:r>
                    <w:rPr>
                      <w:rFonts w:ascii="宋体" w:hAnsi="宋体" w:eastAsia="宋体" w:cs="宋体"/>
                      <w:spacing w:val="-12"/>
                      <w:position w:val="4"/>
                      <w:sz w:val="28"/>
                      <w:szCs w:val="28"/>
                    </w:rPr>
                    <w:t>；</w:t>
                  </w:r>
                </w:p>
              </w:txbxContent>
            </v:textbox>
          </v:shape>
        </w:pict>
      </w:r>
      <w:r>
        <w:rPr>
          <w:rFonts w:ascii="Times New Roman" w:hAnsi="Times New Roman" w:eastAsia="Times New Roman" w:cs="Times New Roman"/>
          <w:sz w:val="28"/>
          <w:szCs w:val="28"/>
        </w:rPr>
        <w:t>E</w:t>
      </w:r>
      <w:r>
        <w:rPr>
          <w:rFonts w:ascii="Times New Roman" w:hAnsi="Times New Roman" w:eastAsia="Times New Roman" w:cs="Times New Roman"/>
          <w:spacing w:val="5"/>
          <w:sz w:val="28"/>
          <w:szCs w:val="28"/>
        </w:rPr>
        <w:t xml:space="preserve"> </w:t>
      </w:r>
      <w:r>
        <w:rPr>
          <w:rFonts w:ascii="宋体" w:hAnsi="宋体" w:eastAsia="宋体" w:cs="宋体"/>
          <w:spacing w:val="3"/>
          <w:sz w:val="13"/>
          <w:szCs w:val="13"/>
        </w:rPr>
        <w:t>过程</w:t>
      </w:r>
    </w:p>
    <w:p>
      <w:pPr>
        <w:spacing w:line="356" w:lineRule="auto"/>
        <w:rPr>
          <w:rFonts w:ascii="Arial"/>
          <w:sz w:val="21"/>
        </w:rPr>
      </w:pPr>
    </w:p>
    <w:p>
      <w:pPr>
        <w:spacing w:before="91" w:line="378" w:lineRule="exact"/>
        <w:ind w:left="36"/>
        <w:rPr>
          <w:rFonts w:ascii="宋体" w:hAnsi="宋体" w:eastAsia="宋体" w:cs="宋体"/>
          <w:sz w:val="28"/>
          <w:szCs w:val="28"/>
        </w:rPr>
      </w:pPr>
      <w:r>
        <w:rPr>
          <w:rFonts w:ascii="Times New Roman" w:hAnsi="Times New Roman" w:eastAsia="Times New Roman" w:cs="Times New Roman"/>
          <w:position w:val="1"/>
          <w:sz w:val="28"/>
          <w:szCs w:val="28"/>
        </w:rPr>
        <w:t>E</w:t>
      </w:r>
      <w:r>
        <w:rPr>
          <w:rFonts w:ascii="Times New Roman" w:hAnsi="Times New Roman" w:eastAsia="Times New Roman" w:cs="Times New Roman"/>
          <w:spacing w:val="3"/>
          <w:position w:val="1"/>
          <w:sz w:val="28"/>
          <w:szCs w:val="28"/>
        </w:rPr>
        <w:t xml:space="preserve"> </w:t>
      </w:r>
      <w:r>
        <w:rPr>
          <w:rFonts w:ascii="宋体" w:hAnsi="宋体" w:eastAsia="宋体" w:cs="宋体"/>
          <w:spacing w:val="3"/>
          <w:position w:val="1"/>
          <w:sz w:val="13"/>
          <w:szCs w:val="13"/>
        </w:rPr>
        <w:t xml:space="preserve">电力         </w:t>
      </w:r>
      <w:r>
        <w:rPr>
          <w:rFonts w:ascii="宋体" w:hAnsi="宋体" w:eastAsia="宋体" w:cs="宋体"/>
          <w:spacing w:val="3"/>
          <w:position w:val="1"/>
          <w:sz w:val="28"/>
          <w:szCs w:val="28"/>
        </w:rPr>
        <w:t>企业净购入电力产生的排放量，单位为</w:t>
      </w:r>
      <w:r>
        <w:rPr>
          <w:rFonts w:ascii="Times New Roman" w:hAnsi="Times New Roman" w:eastAsia="Times New Roman" w:cs="Times New Roman"/>
          <w:position w:val="1"/>
          <w:sz w:val="28"/>
          <w:szCs w:val="28"/>
        </w:rPr>
        <w:t>tCO</w:t>
      </w:r>
      <w:r>
        <w:rPr>
          <w:rFonts w:ascii="Times New Roman" w:hAnsi="Times New Roman" w:eastAsia="Times New Roman" w:cs="Times New Roman"/>
          <w:spacing w:val="3"/>
          <w:position w:val="-1"/>
          <w:sz w:val="17"/>
          <w:szCs w:val="17"/>
        </w:rPr>
        <w:t>2</w:t>
      </w:r>
      <w:r>
        <w:rPr>
          <w:rFonts w:ascii="宋体" w:hAnsi="宋体" w:eastAsia="宋体" w:cs="宋体"/>
          <w:spacing w:val="1"/>
          <w:position w:val="1"/>
          <w:sz w:val="28"/>
          <w:szCs w:val="28"/>
        </w:rPr>
        <w:t>；</w:t>
      </w:r>
    </w:p>
    <w:p>
      <w:pPr>
        <w:spacing w:before="191" w:line="378" w:lineRule="exact"/>
        <w:ind w:left="36"/>
        <w:rPr>
          <w:rFonts w:ascii="宋体" w:hAnsi="宋体" w:eastAsia="宋体" w:cs="宋体"/>
          <w:sz w:val="28"/>
          <w:szCs w:val="28"/>
        </w:rPr>
      </w:pPr>
      <w:r>
        <w:rPr>
          <w:rFonts w:ascii="Times New Roman" w:hAnsi="Times New Roman" w:eastAsia="Times New Roman" w:cs="Times New Roman"/>
          <w:position w:val="1"/>
          <w:sz w:val="28"/>
          <w:szCs w:val="28"/>
        </w:rPr>
        <w:t>E</w:t>
      </w:r>
      <w:r>
        <w:rPr>
          <w:rFonts w:ascii="Times New Roman" w:hAnsi="Times New Roman" w:eastAsia="Times New Roman" w:cs="Times New Roman"/>
          <w:spacing w:val="3"/>
          <w:position w:val="1"/>
          <w:sz w:val="28"/>
          <w:szCs w:val="28"/>
        </w:rPr>
        <w:t xml:space="preserve"> </w:t>
      </w:r>
      <w:r>
        <w:rPr>
          <w:rFonts w:ascii="宋体" w:hAnsi="宋体" w:eastAsia="宋体" w:cs="宋体"/>
          <w:spacing w:val="3"/>
          <w:position w:val="1"/>
          <w:sz w:val="13"/>
          <w:szCs w:val="13"/>
        </w:rPr>
        <w:t xml:space="preserve">热力         </w:t>
      </w:r>
      <w:r>
        <w:rPr>
          <w:rFonts w:ascii="宋体" w:hAnsi="宋体" w:eastAsia="宋体" w:cs="宋体"/>
          <w:spacing w:val="3"/>
          <w:position w:val="1"/>
          <w:sz w:val="28"/>
          <w:szCs w:val="28"/>
        </w:rPr>
        <w:t>企业净购入热力产生的排放量，单位为</w:t>
      </w:r>
      <w:r>
        <w:rPr>
          <w:rFonts w:ascii="Times New Roman" w:hAnsi="Times New Roman" w:eastAsia="Times New Roman" w:cs="Times New Roman"/>
          <w:position w:val="1"/>
          <w:sz w:val="28"/>
          <w:szCs w:val="28"/>
        </w:rPr>
        <w:t>tCO</w:t>
      </w:r>
      <w:r>
        <w:rPr>
          <w:rFonts w:ascii="Times New Roman" w:hAnsi="Times New Roman" w:eastAsia="Times New Roman" w:cs="Times New Roman"/>
          <w:spacing w:val="3"/>
          <w:position w:val="-1"/>
          <w:sz w:val="17"/>
          <w:szCs w:val="17"/>
        </w:rPr>
        <w:t>2</w:t>
      </w:r>
      <w:r>
        <w:rPr>
          <w:rFonts w:ascii="Times New Roman" w:hAnsi="Times New Roman" w:eastAsia="Times New Roman" w:cs="Times New Roman"/>
          <w:position w:val="1"/>
          <w:sz w:val="28"/>
          <w:szCs w:val="28"/>
        </w:rPr>
        <w:t>e</w:t>
      </w:r>
      <w:r>
        <w:rPr>
          <w:rFonts w:ascii="宋体" w:hAnsi="宋体" w:eastAsia="宋体" w:cs="宋体"/>
          <w:spacing w:val="3"/>
          <w:position w:val="1"/>
          <w:sz w:val="28"/>
          <w:szCs w:val="28"/>
        </w:rPr>
        <w:t>。</w:t>
      </w:r>
    </w:p>
    <w:p>
      <w:pPr>
        <w:pStyle w:val="5"/>
        <w:bidi w:val="0"/>
      </w:pPr>
      <w:bookmarkStart w:id="36" w:name="_bookmark19"/>
      <w:bookmarkEnd w:id="36"/>
      <w:bookmarkStart w:id="37" w:name="_Toc19546"/>
      <w:r>
        <w:t>3.3.1化石燃料燃烧排放</w:t>
      </w:r>
      <w:bookmarkEnd w:id="37"/>
    </w:p>
    <w:p>
      <w:pPr>
        <w:pStyle w:val="8"/>
        <w:bidi w:val="0"/>
      </w:pPr>
      <w:r>
        <w:t>受核查方化石燃料产生的排放采用《核算指南》中的如下核算方法：</w:t>
      </w:r>
    </w:p>
    <w:p>
      <w:pPr>
        <w:spacing w:before="134" w:line="643" w:lineRule="exact"/>
        <w:rPr>
          <w:rFonts w:ascii="宋体" w:hAnsi="宋体" w:eastAsia="宋体" w:cs="宋体"/>
          <w:sz w:val="28"/>
          <w:szCs w:val="28"/>
        </w:rPr>
      </w:pPr>
      <w:r>
        <w:rPr>
          <w:rFonts w:ascii="Times New Roman" w:hAnsi="Times New Roman" w:eastAsia="Times New Roman" w:cs="Times New Roman"/>
          <w:position w:val="24"/>
          <w:sz w:val="28"/>
          <w:szCs w:val="28"/>
        </w:rPr>
        <w:t>E</w:t>
      </w:r>
      <w:r>
        <w:rPr>
          <w:rFonts w:ascii="Times New Roman" w:hAnsi="Times New Roman" w:eastAsia="Times New Roman" w:cs="Times New Roman"/>
          <w:spacing w:val="14"/>
          <w:position w:val="24"/>
          <w:sz w:val="28"/>
          <w:szCs w:val="28"/>
        </w:rPr>
        <w:t xml:space="preserve"> </w:t>
      </w:r>
      <w:r>
        <w:rPr>
          <w:rFonts w:ascii="宋体" w:hAnsi="宋体" w:eastAsia="宋体" w:cs="宋体"/>
          <w:spacing w:val="7"/>
          <w:position w:val="21"/>
          <w:sz w:val="13"/>
          <w:szCs w:val="13"/>
        </w:rPr>
        <w:t>燃烧</w:t>
      </w:r>
      <w:r>
        <w:rPr>
          <w:rFonts w:ascii="Times New Roman" w:hAnsi="Times New Roman" w:eastAsia="Times New Roman" w:cs="Times New Roman"/>
          <w:spacing w:val="7"/>
          <w:position w:val="24"/>
          <w:sz w:val="28"/>
          <w:szCs w:val="28"/>
        </w:rPr>
        <w:t>=</w:t>
      </w:r>
      <w:r>
        <w:rPr>
          <w:rFonts w:ascii="Cambria Math" w:hAnsi="Cambria Math" w:eastAsia="Cambria Math" w:cs="Cambria Math"/>
          <w:position w:val="24"/>
          <w:sz w:val="27"/>
          <w:szCs w:val="27"/>
        </w:rPr>
        <w:t>x</w:t>
      </w:r>
      <w:r>
        <w:rPr>
          <w:position w:val="15"/>
          <w:sz w:val="27"/>
          <w:szCs w:val="27"/>
        </w:rPr>
        <w:drawing>
          <wp:inline distT="0" distB="0" distL="0" distR="0">
            <wp:extent cx="128270" cy="21018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41"/>
                    <a:stretch>
                      <a:fillRect/>
                    </a:stretch>
                  </pic:blipFill>
                  <pic:spPr>
                    <a:xfrm>
                      <a:off x="0" y="0"/>
                      <a:ext cx="128524" cy="210259"/>
                    </a:xfrm>
                    <a:prstGeom prst="rect">
                      <a:avLst/>
                    </a:prstGeom>
                  </pic:spPr>
                </pic:pic>
              </a:graphicData>
            </a:graphic>
          </wp:inline>
        </w:drawing>
      </w:r>
      <w:r>
        <w:rPr>
          <w:rFonts w:ascii="Cambria Math" w:hAnsi="Cambria Math" w:eastAsia="Cambria Math" w:cs="Cambria Math"/>
          <w:spacing w:val="7"/>
          <w:position w:val="15"/>
          <w:sz w:val="19"/>
          <w:szCs w:val="19"/>
        </w:rPr>
        <w:t xml:space="preserve">1 </w:t>
      </w:r>
      <w:r>
        <w:rPr>
          <w:rFonts w:ascii="Cambria Math" w:hAnsi="Cambria Math" w:eastAsia="Cambria Math" w:cs="Cambria Math"/>
          <w:spacing w:val="7"/>
          <w:position w:val="24"/>
          <w:sz w:val="28"/>
          <w:szCs w:val="28"/>
        </w:rPr>
        <w:t>(</w:t>
      </w:r>
      <w:r>
        <w:rPr>
          <w:rFonts w:ascii="Cambria Math" w:hAnsi="Cambria Math" w:eastAsia="Cambria Math" w:cs="Cambria Math"/>
          <w:position w:val="24"/>
          <w:sz w:val="28"/>
          <w:szCs w:val="28"/>
        </w:rPr>
        <w:t>AD</w:t>
      </w:r>
      <w:r>
        <w:rPr>
          <w:rFonts w:ascii="Cambria Math" w:hAnsi="Cambria Math" w:eastAsia="Cambria Math" w:cs="Cambria Math"/>
          <w:position w:val="20"/>
          <w:sz w:val="19"/>
          <w:szCs w:val="19"/>
        </w:rPr>
        <w:t>i</w:t>
      </w:r>
      <w:r>
        <w:rPr>
          <w:rFonts w:ascii="Cambria Math" w:hAnsi="Cambria Math" w:eastAsia="Cambria Math" w:cs="Cambria Math"/>
          <w:spacing w:val="7"/>
          <w:position w:val="20"/>
          <w:sz w:val="19"/>
          <w:szCs w:val="19"/>
        </w:rPr>
        <w:t xml:space="preserve">  </w:t>
      </w:r>
      <w:r>
        <w:rPr>
          <w:rFonts w:ascii="Cambria Math" w:hAnsi="Cambria Math" w:eastAsia="Cambria Math" w:cs="Cambria Math"/>
          <w:spacing w:val="7"/>
          <w:position w:val="24"/>
          <w:sz w:val="28"/>
          <w:szCs w:val="28"/>
        </w:rPr>
        <w:t xml:space="preserve">× </w:t>
      </w:r>
      <w:r>
        <w:rPr>
          <w:rFonts w:ascii="Cambria Math" w:hAnsi="Cambria Math" w:eastAsia="Cambria Math" w:cs="Cambria Math"/>
          <w:position w:val="24"/>
          <w:sz w:val="28"/>
          <w:szCs w:val="28"/>
        </w:rPr>
        <w:t>EF</w:t>
      </w:r>
      <w:r>
        <w:rPr>
          <w:rFonts w:ascii="Cambria Math" w:hAnsi="Cambria Math" w:eastAsia="Cambria Math" w:cs="Cambria Math"/>
          <w:position w:val="20"/>
          <w:sz w:val="19"/>
          <w:szCs w:val="19"/>
        </w:rPr>
        <w:t>i</w:t>
      </w:r>
      <w:r>
        <w:rPr>
          <w:rFonts w:ascii="Cambria Math" w:hAnsi="Cambria Math" w:eastAsia="Cambria Math" w:cs="Cambria Math"/>
          <w:spacing w:val="7"/>
          <w:position w:val="20"/>
          <w:sz w:val="19"/>
          <w:szCs w:val="19"/>
        </w:rPr>
        <w:t xml:space="preserve"> </w:t>
      </w:r>
      <w:r>
        <w:rPr>
          <w:rFonts w:ascii="Cambria Math" w:hAnsi="Cambria Math" w:eastAsia="Cambria Math" w:cs="Cambria Math"/>
          <w:spacing w:val="7"/>
          <w:position w:val="24"/>
          <w:sz w:val="28"/>
          <w:szCs w:val="28"/>
        </w:rPr>
        <w:t xml:space="preserve">)  </w:t>
      </w:r>
      <w:r>
        <w:rPr>
          <w:rFonts w:ascii="宋体" w:hAnsi="宋体" w:eastAsia="宋体" w:cs="宋体"/>
          <w:spacing w:val="7"/>
          <w:position w:val="24"/>
          <w:sz w:val="28"/>
          <w:szCs w:val="28"/>
        </w:rPr>
        <w:t>(</w:t>
      </w:r>
      <w:r>
        <w:rPr>
          <w:rFonts w:ascii="Times New Roman" w:hAnsi="Times New Roman" w:eastAsia="Times New Roman" w:cs="Times New Roman"/>
          <w:spacing w:val="7"/>
          <w:position w:val="24"/>
          <w:sz w:val="28"/>
          <w:szCs w:val="28"/>
        </w:rPr>
        <w:t>2</w:t>
      </w:r>
      <w:r>
        <w:rPr>
          <w:rFonts w:ascii="宋体" w:hAnsi="宋体" w:eastAsia="宋体" w:cs="宋体"/>
          <w:spacing w:val="7"/>
          <w:position w:val="24"/>
          <w:sz w:val="28"/>
          <w:szCs w:val="28"/>
        </w:rPr>
        <w:t>)</w:t>
      </w:r>
    </w:p>
    <w:p>
      <w:pPr>
        <w:spacing w:before="1" w:line="220" w:lineRule="auto"/>
        <w:ind w:left="47"/>
        <w:rPr>
          <w:rFonts w:ascii="宋体" w:hAnsi="宋体" w:eastAsia="宋体" w:cs="宋体"/>
          <w:sz w:val="28"/>
          <w:szCs w:val="28"/>
        </w:rPr>
      </w:pPr>
      <w:r>
        <w:rPr>
          <w:rFonts w:ascii="宋体" w:hAnsi="宋体" w:eastAsia="宋体" w:cs="宋体"/>
          <w:spacing w:val="-5"/>
          <w:sz w:val="28"/>
          <w:szCs w:val="28"/>
        </w:rPr>
        <w:t>式中：</w:t>
      </w:r>
    </w:p>
    <w:p>
      <w:pPr>
        <w:spacing w:before="184" w:line="378" w:lineRule="exact"/>
        <w:ind w:left="36"/>
        <w:rPr>
          <w:rFonts w:ascii="宋体" w:hAnsi="宋体" w:eastAsia="宋体" w:cs="宋体"/>
          <w:sz w:val="28"/>
          <w:szCs w:val="28"/>
        </w:rPr>
      </w:pPr>
      <w:r>
        <w:rPr>
          <w:rFonts w:ascii="Times New Roman" w:hAnsi="Times New Roman" w:eastAsia="Times New Roman" w:cs="Times New Roman"/>
          <w:position w:val="2"/>
          <w:sz w:val="28"/>
          <w:szCs w:val="28"/>
        </w:rPr>
        <w:t>E</w:t>
      </w:r>
      <w:r>
        <w:rPr>
          <w:rFonts w:ascii="Times New Roman" w:hAnsi="Times New Roman" w:eastAsia="Times New Roman" w:cs="Times New Roman"/>
          <w:spacing w:val="1"/>
          <w:position w:val="2"/>
          <w:sz w:val="28"/>
          <w:szCs w:val="28"/>
        </w:rPr>
        <w:t xml:space="preserve"> </w:t>
      </w:r>
      <w:r>
        <w:rPr>
          <w:rFonts w:ascii="宋体" w:hAnsi="宋体" w:eastAsia="宋体" w:cs="宋体"/>
          <w:spacing w:val="1"/>
          <w:position w:val="-1"/>
          <w:sz w:val="13"/>
          <w:szCs w:val="13"/>
        </w:rPr>
        <w:t xml:space="preserve">燃烧         </w:t>
      </w:r>
      <w:r>
        <w:rPr>
          <w:rFonts w:ascii="宋体" w:hAnsi="宋体" w:eastAsia="宋体" w:cs="宋体"/>
          <w:spacing w:val="1"/>
          <w:position w:val="2"/>
          <w:sz w:val="28"/>
          <w:szCs w:val="28"/>
        </w:rPr>
        <w:t xml:space="preserve">企业边界内化石燃料燃烧产生的 </w:t>
      </w:r>
      <w:r>
        <w:rPr>
          <w:rFonts w:ascii="Times New Roman" w:hAnsi="Times New Roman" w:eastAsia="Times New Roman" w:cs="Times New Roman"/>
          <w:position w:val="2"/>
          <w:sz w:val="28"/>
          <w:szCs w:val="28"/>
        </w:rPr>
        <w:t>CO</w:t>
      </w:r>
      <w:r>
        <w:rPr>
          <w:rFonts w:ascii="Times New Roman" w:hAnsi="Times New Roman" w:eastAsia="Times New Roman" w:cs="Times New Roman"/>
          <w:spacing w:val="1"/>
          <w:sz w:val="17"/>
          <w:szCs w:val="17"/>
        </w:rPr>
        <w:t xml:space="preserve">2 </w:t>
      </w:r>
      <w:r>
        <w:rPr>
          <w:rFonts w:ascii="宋体" w:hAnsi="宋体" w:eastAsia="宋体" w:cs="宋体"/>
          <w:spacing w:val="1"/>
          <w:position w:val="2"/>
          <w:sz w:val="28"/>
          <w:szCs w:val="28"/>
        </w:rPr>
        <w:t>排</w:t>
      </w:r>
      <w:r>
        <w:rPr>
          <w:rFonts w:ascii="宋体" w:hAnsi="宋体" w:eastAsia="宋体" w:cs="宋体"/>
          <w:position w:val="2"/>
          <w:sz w:val="28"/>
          <w:szCs w:val="28"/>
        </w:rPr>
        <w:t>放，单位为</w:t>
      </w:r>
      <w:r>
        <w:rPr>
          <w:rFonts w:ascii="Times New Roman" w:hAnsi="Times New Roman" w:eastAsia="Times New Roman" w:cs="Times New Roman"/>
          <w:position w:val="2"/>
          <w:sz w:val="28"/>
          <w:szCs w:val="28"/>
        </w:rPr>
        <w:t>tCO</w:t>
      </w:r>
      <w:r>
        <w:rPr>
          <w:rFonts w:ascii="Times New Roman" w:hAnsi="Times New Roman" w:eastAsia="Times New Roman" w:cs="Times New Roman"/>
          <w:sz w:val="17"/>
          <w:szCs w:val="17"/>
        </w:rPr>
        <w:t>2</w:t>
      </w:r>
      <w:r>
        <w:rPr>
          <w:rFonts w:ascii="宋体" w:hAnsi="宋体" w:eastAsia="宋体" w:cs="宋体"/>
          <w:position w:val="2"/>
          <w:sz w:val="28"/>
          <w:szCs w:val="28"/>
        </w:rPr>
        <w:t>；</w:t>
      </w:r>
    </w:p>
    <w:p>
      <w:pPr>
        <w:spacing w:before="91" w:line="238" w:lineRule="auto"/>
        <w:rPr>
          <w:rFonts w:hint="eastAsia" w:ascii="Times New Roman" w:hAnsi="Times New Roman" w:eastAsia="宋体" w:cs="Times New Roman"/>
          <w:position w:val="1"/>
          <w:sz w:val="28"/>
          <w:szCs w:val="28"/>
          <w:lang w:eastAsia="zh-CN"/>
        </w:rPr>
      </w:pPr>
      <w:r>
        <w:rPr>
          <w:rFonts w:ascii="Times New Roman" w:hAnsi="Times New Roman" w:eastAsia="Times New Roman" w:cs="Times New Roman"/>
          <w:position w:val="1"/>
          <w:sz w:val="28"/>
          <w:szCs w:val="28"/>
        </w:rPr>
        <w:t>AD</w:t>
      </w:r>
      <w:r>
        <w:rPr>
          <w:rFonts w:ascii="Times New Roman" w:hAnsi="Times New Roman" w:eastAsia="Times New Roman" w:cs="Times New Roman"/>
          <w:position w:val="1"/>
          <w:sz w:val="13"/>
          <w:szCs w:val="13"/>
        </w:rPr>
        <w:t>i</w:t>
      </w:r>
      <w:r>
        <w:rPr>
          <w:rFonts w:ascii="Times New Roman" w:hAnsi="Times New Roman" w:eastAsia="Times New Roman" w:cs="Times New Roman"/>
          <w:spacing w:val="-1"/>
          <w:position w:val="1"/>
          <w:sz w:val="13"/>
          <w:szCs w:val="13"/>
        </w:rPr>
        <w:t xml:space="preserve">                </w:t>
      </w:r>
      <w:r>
        <w:rPr>
          <w:rFonts w:ascii="Times New Roman" w:hAnsi="Times New Roman" w:eastAsia="Times New Roman" w:cs="Times New Roman"/>
          <w:position w:val="1"/>
          <w:sz w:val="13"/>
          <w:szCs w:val="13"/>
        </w:rPr>
        <w:t xml:space="preserve">    </w:t>
      </w:r>
      <w:r>
        <w:rPr>
          <w:rFonts w:hint="eastAsia" w:ascii="Times New Roman" w:hAnsi="Times New Roman" w:eastAsia="宋体" w:cs="Times New Roman"/>
          <w:position w:val="1"/>
          <w:sz w:val="13"/>
          <w:szCs w:val="13"/>
          <w:lang w:val="en-US" w:eastAsia="zh-CN"/>
        </w:rPr>
        <w:t xml:space="preserve"> </w:t>
      </w:r>
      <w:r>
        <w:rPr>
          <w:rFonts w:ascii="Times New Roman" w:hAnsi="Times New Roman" w:eastAsia="Times New Roman" w:cs="Times New Roman"/>
          <w:position w:val="1"/>
          <w:sz w:val="13"/>
          <w:szCs w:val="13"/>
        </w:rPr>
        <w:t xml:space="preserve"> </w:t>
      </w:r>
      <w:r>
        <w:rPr>
          <w:rFonts w:ascii="宋体" w:hAnsi="宋体" w:eastAsia="宋体" w:cs="宋体"/>
          <w:position w:val="1"/>
          <w:sz w:val="28"/>
          <w:szCs w:val="28"/>
        </w:rPr>
        <w:t xml:space="preserve">核算和报告年度内第 </w:t>
      </w:r>
      <w:r>
        <w:rPr>
          <w:rFonts w:ascii="Times New Roman" w:hAnsi="Times New Roman" w:eastAsia="Times New Roman" w:cs="Times New Roman"/>
          <w:position w:val="1"/>
          <w:sz w:val="28"/>
          <w:szCs w:val="28"/>
        </w:rPr>
        <w:t xml:space="preserve">i </w:t>
      </w:r>
      <w:r>
        <w:rPr>
          <w:rFonts w:ascii="宋体" w:hAnsi="宋体" w:eastAsia="宋体" w:cs="宋体"/>
          <w:position w:val="1"/>
          <w:sz w:val="28"/>
          <w:szCs w:val="28"/>
        </w:rPr>
        <w:t>种化石燃料的活动水平，单位</w:t>
      </w:r>
      <w:r>
        <w:rPr>
          <w:rFonts w:ascii="Times New Roman" w:hAnsi="Times New Roman" w:eastAsia="Times New Roman" w:cs="Times New Roman"/>
          <w:position w:val="1"/>
          <w:sz w:val="28"/>
          <w:szCs w:val="28"/>
        </w:rPr>
        <w:t>GJ</w:t>
      </w:r>
      <w:r>
        <w:rPr>
          <w:rFonts w:hint="eastAsia" w:ascii="Times New Roman" w:hAnsi="Times New Roman" w:eastAsia="宋体" w:cs="Times New Roman"/>
          <w:position w:val="1"/>
          <w:sz w:val="28"/>
          <w:szCs w:val="28"/>
          <w:lang w:eastAsia="zh-CN"/>
        </w:rPr>
        <w:t>；</w:t>
      </w:r>
    </w:p>
    <w:p>
      <w:pPr>
        <w:spacing w:before="91" w:line="238" w:lineRule="auto"/>
        <w:rPr>
          <w:rFonts w:ascii="Times New Roman" w:hAnsi="Times New Roman" w:eastAsia="Times New Roman" w:cs="Times New Roman"/>
          <w:sz w:val="28"/>
          <w:szCs w:val="28"/>
        </w:rPr>
      </w:pPr>
      <w:r>
        <w:rPr>
          <w:rFonts w:ascii="Times New Roman" w:hAnsi="Times New Roman" w:eastAsia="Times New Roman" w:cs="Times New Roman"/>
          <w:spacing w:val="-2"/>
          <w:position w:val="9"/>
          <w:sz w:val="28"/>
          <w:szCs w:val="28"/>
        </w:rPr>
        <w:t>EF</w:t>
      </w:r>
      <w:r>
        <w:rPr>
          <w:rFonts w:ascii="Times New Roman" w:hAnsi="Times New Roman" w:eastAsia="Times New Roman" w:cs="Times New Roman"/>
          <w:spacing w:val="-2"/>
          <w:position w:val="8"/>
          <w:sz w:val="13"/>
          <w:szCs w:val="13"/>
        </w:rPr>
        <w:t>i</w:t>
      </w:r>
      <w:r>
        <w:rPr>
          <w:rFonts w:ascii="Times New Roman" w:hAnsi="Times New Roman" w:eastAsia="Times New Roman" w:cs="Times New Roman"/>
          <w:spacing w:val="-4"/>
          <w:position w:val="8"/>
          <w:sz w:val="13"/>
          <w:szCs w:val="13"/>
        </w:rPr>
        <w:t xml:space="preserve">             </w:t>
      </w:r>
      <w:r>
        <w:rPr>
          <w:rFonts w:ascii="Times New Roman" w:hAnsi="Times New Roman" w:eastAsia="Times New Roman" w:cs="Times New Roman"/>
          <w:spacing w:val="-2"/>
          <w:position w:val="8"/>
          <w:sz w:val="13"/>
          <w:szCs w:val="13"/>
        </w:rPr>
        <w:t xml:space="preserve">          </w:t>
      </w:r>
      <w:r>
        <w:rPr>
          <w:rFonts w:hint="eastAsia" w:ascii="Times New Roman" w:hAnsi="Times New Roman" w:eastAsia="宋体" w:cs="Times New Roman"/>
          <w:spacing w:val="-2"/>
          <w:position w:val="8"/>
          <w:sz w:val="13"/>
          <w:szCs w:val="13"/>
          <w:lang w:val="en-US" w:eastAsia="zh-CN"/>
        </w:rPr>
        <w:t xml:space="preserve">   </w:t>
      </w:r>
      <w:r>
        <w:rPr>
          <w:rFonts w:ascii="宋体" w:hAnsi="宋体" w:eastAsia="宋体" w:cs="宋体"/>
          <w:spacing w:val="-2"/>
          <w:sz w:val="28"/>
          <w:szCs w:val="28"/>
        </w:rPr>
        <w:t xml:space="preserve">第 </w:t>
      </w:r>
      <w:r>
        <w:rPr>
          <w:rFonts w:ascii="Times New Roman" w:hAnsi="Times New Roman" w:eastAsia="Times New Roman" w:cs="Times New Roman"/>
          <w:spacing w:val="-2"/>
          <w:sz w:val="28"/>
          <w:szCs w:val="28"/>
        </w:rPr>
        <w:t xml:space="preserve">i </w:t>
      </w:r>
      <w:r>
        <w:rPr>
          <w:rFonts w:ascii="宋体" w:hAnsi="宋体" w:eastAsia="宋体" w:cs="宋体"/>
          <w:spacing w:val="-2"/>
          <w:sz w:val="28"/>
          <w:szCs w:val="28"/>
        </w:rPr>
        <w:t xml:space="preserve">种化石燃料的二氧化碳排放因子，单位为 </w:t>
      </w:r>
      <w:r>
        <w:rPr>
          <w:rFonts w:ascii="Times New Roman" w:hAnsi="Times New Roman" w:eastAsia="Times New Roman" w:cs="Times New Roman"/>
          <w:spacing w:val="-2"/>
          <w:sz w:val="28"/>
          <w:szCs w:val="28"/>
        </w:rPr>
        <w:t>tCO</w:t>
      </w:r>
      <w:r>
        <w:rPr>
          <w:rFonts w:ascii="Times New Roman" w:hAnsi="Times New Roman" w:eastAsia="Times New Roman" w:cs="Times New Roman"/>
          <w:spacing w:val="-2"/>
          <w:position w:val="-2"/>
          <w:sz w:val="17"/>
          <w:szCs w:val="17"/>
        </w:rPr>
        <w:t>2</w:t>
      </w:r>
      <w:r>
        <w:rPr>
          <w:rFonts w:ascii="Times New Roman" w:hAnsi="Times New Roman" w:eastAsia="Times New Roman" w:cs="Times New Roman"/>
          <w:spacing w:val="-2"/>
          <w:sz w:val="28"/>
          <w:szCs w:val="28"/>
        </w:rPr>
        <w:t>/GJ;</w:t>
      </w:r>
    </w:p>
    <w:p>
      <w:pPr>
        <w:spacing w:before="14" w:line="378" w:lineRule="exact"/>
        <w:ind w:left="39"/>
        <w:rPr>
          <w:rFonts w:ascii="宋体" w:hAnsi="宋体" w:eastAsia="宋体" w:cs="宋体"/>
          <w:sz w:val="28"/>
          <w:szCs w:val="28"/>
        </w:rPr>
      </w:pPr>
      <w:r>
        <w:rPr>
          <w:rFonts w:ascii="Times New Roman" w:hAnsi="Times New Roman" w:eastAsia="Times New Roman" w:cs="Times New Roman"/>
          <w:position w:val="1"/>
          <w:sz w:val="28"/>
          <w:szCs w:val="28"/>
        </w:rPr>
        <w:t>i</w:t>
      </w:r>
      <w:r>
        <w:rPr>
          <w:rFonts w:ascii="Times New Roman" w:hAnsi="Times New Roman" w:eastAsia="Times New Roman" w:cs="Times New Roman"/>
          <w:spacing w:val="3"/>
          <w:position w:val="1"/>
          <w:sz w:val="28"/>
          <w:szCs w:val="28"/>
        </w:rPr>
        <w:t xml:space="preserve"> </w:t>
      </w:r>
      <w:r>
        <w:rPr>
          <w:rFonts w:ascii="Times New Roman" w:hAnsi="Times New Roman" w:eastAsia="Times New Roman" w:cs="Times New Roman"/>
          <w:spacing w:val="2"/>
          <w:position w:val="1"/>
          <w:sz w:val="28"/>
          <w:szCs w:val="28"/>
        </w:rPr>
        <w:t xml:space="preserve">            </w:t>
      </w:r>
      <w:r>
        <w:rPr>
          <w:rFonts w:hint="eastAsia" w:ascii="Times New Roman" w:hAnsi="Times New Roman" w:eastAsia="宋体" w:cs="Times New Roman"/>
          <w:spacing w:val="2"/>
          <w:position w:val="1"/>
          <w:sz w:val="28"/>
          <w:szCs w:val="28"/>
          <w:lang w:val="en-US" w:eastAsia="zh-CN"/>
        </w:rPr>
        <w:t xml:space="preserve"> </w:t>
      </w:r>
      <w:r>
        <w:rPr>
          <w:rFonts w:ascii="宋体" w:hAnsi="宋体" w:eastAsia="宋体" w:cs="宋体"/>
          <w:spacing w:val="2"/>
          <w:position w:val="1"/>
          <w:sz w:val="28"/>
          <w:szCs w:val="28"/>
        </w:rPr>
        <w:t>化石燃料类型代号。</w:t>
      </w:r>
    </w:p>
    <w:p>
      <w:pPr>
        <w:pStyle w:val="8"/>
        <w:bidi w:val="0"/>
      </w:pPr>
      <w:r>
        <w:t>其中，活动水平数据的计算公式为：</w:t>
      </w:r>
    </w:p>
    <w:p>
      <w:pPr>
        <w:spacing w:line="377" w:lineRule="exact"/>
        <w:ind w:left="33"/>
        <w:rPr>
          <w:rFonts w:ascii="宋体" w:hAnsi="宋体" w:eastAsia="宋体" w:cs="宋体"/>
          <w:sz w:val="28"/>
          <w:szCs w:val="28"/>
        </w:rPr>
      </w:pPr>
      <w:r>
        <w:rPr>
          <w:rFonts w:ascii="Times New Roman" w:hAnsi="Times New Roman" w:eastAsia="Times New Roman" w:cs="Times New Roman"/>
          <w:spacing w:val="-1"/>
          <w:position w:val="1"/>
          <w:sz w:val="28"/>
          <w:szCs w:val="28"/>
        </w:rPr>
        <w:t>AD</w:t>
      </w:r>
      <w:r>
        <w:rPr>
          <w:rFonts w:ascii="Times New Roman" w:hAnsi="Times New Roman" w:eastAsia="Times New Roman" w:cs="Times New Roman"/>
          <w:spacing w:val="-1"/>
          <w:sz w:val="17"/>
          <w:szCs w:val="17"/>
        </w:rPr>
        <w:t>i</w:t>
      </w:r>
      <w:r>
        <w:rPr>
          <w:rFonts w:ascii="Times New Roman" w:hAnsi="Times New Roman" w:eastAsia="Times New Roman" w:cs="Times New Roman"/>
          <w:spacing w:val="-2"/>
          <w:position w:val="1"/>
          <w:sz w:val="28"/>
          <w:szCs w:val="28"/>
        </w:rPr>
        <w:t>=</w:t>
      </w:r>
      <w:r>
        <w:rPr>
          <w:rFonts w:ascii="Times New Roman" w:hAnsi="Times New Roman" w:eastAsia="Times New Roman" w:cs="Times New Roman"/>
          <w:spacing w:val="-1"/>
          <w:position w:val="1"/>
          <w:sz w:val="28"/>
          <w:szCs w:val="28"/>
        </w:rPr>
        <w:t>NCV</w:t>
      </w:r>
      <w:r>
        <w:rPr>
          <w:rFonts w:ascii="Times New Roman" w:hAnsi="Times New Roman" w:eastAsia="Times New Roman" w:cs="Times New Roman"/>
          <w:spacing w:val="-1"/>
          <w:sz w:val="17"/>
          <w:szCs w:val="17"/>
        </w:rPr>
        <w:t>i</w:t>
      </w:r>
      <w:r>
        <w:rPr>
          <w:rFonts w:ascii="Times New Roman" w:hAnsi="Times New Roman" w:eastAsia="Times New Roman" w:cs="Times New Roman"/>
          <w:spacing w:val="-2"/>
          <w:sz w:val="17"/>
          <w:szCs w:val="17"/>
        </w:rPr>
        <w:t xml:space="preserve"> </w:t>
      </w:r>
      <w:r>
        <w:rPr>
          <w:rFonts w:ascii="Times New Roman" w:hAnsi="Times New Roman" w:eastAsia="Times New Roman" w:cs="Times New Roman"/>
          <w:spacing w:val="-2"/>
          <w:position w:val="1"/>
          <w:sz w:val="28"/>
          <w:szCs w:val="28"/>
        </w:rPr>
        <w:t>×</w:t>
      </w:r>
      <w:r>
        <w:rPr>
          <w:rFonts w:ascii="Times New Roman" w:hAnsi="Times New Roman" w:eastAsia="Times New Roman" w:cs="Times New Roman"/>
          <w:spacing w:val="-1"/>
          <w:position w:val="1"/>
          <w:sz w:val="28"/>
          <w:szCs w:val="28"/>
        </w:rPr>
        <w:t>FC</w:t>
      </w:r>
      <w:r>
        <w:rPr>
          <w:rFonts w:ascii="Times New Roman" w:hAnsi="Times New Roman" w:eastAsia="Times New Roman" w:cs="Times New Roman"/>
          <w:spacing w:val="-1"/>
          <w:sz w:val="17"/>
          <w:szCs w:val="17"/>
        </w:rPr>
        <w:t>i</w:t>
      </w:r>
      <w:r>
        <w:rPr>
          <w:rFonts w:ascii="Times New Roman" w:hAnsi="Times New Roman" w:eastAsia="Times New Roman" w:cs="Times New Roman"/>
          <w:spacing w:val="-2"/>
          <w:sz w:val="17"/>
          <w:szCs w:val="17"/>
        </w:rPr>
        <w:t xml:space="preserve">   </w:t>
      </w:r>
      <w:r>
        <w:rPr>
          <w:rFonts w:ascii="宋体" w:hAnsi="宋体" w:eastAsia="宋体" w:cs="宋体"/>
          <w:spacing w:val="-1"/>
          <w:position w:val="1"/>
          <w:sz w:val="28"/>
          <w:szCs w:val="28"/>
        </w:rPr>
        <w:t>(</w:t>
      </w:r>
      <w:r>
        <w:rPr>
          <w:rFonts w:ascii="Times New Roman" w:hAnsi="Times New Roman" w:eastAsia="Times New Roman" w:cs="Times New Roman"/>
          <w:spacing w:val="-1"/>
          <w:position w:val="1"/>
          <w:sz w:val="28"/>
          <w:szCs w:val="28"/>
        </w:rPr>
        <w:t>3</w:t>
      </w:r>
      <w:r>
        <w:rPr>
          <w:rFonts w:ascii="宋体" w:hAnsi="宋体" w:eastAsia="宋体" w:cs="宋体"/>
          <w:spacing w:val="-1"/>
          <w:position w:val="1"/>
          <w:sz w:val="28"/>
          <w:szCs w:val="28"/>
        </w:rPr>
        <w:t>)</w:t>
      </w:r>
    </w:p>
    <w:p>
      <w:pPr>
        <w:spacing w:before="193" w:line="218" w:lineRule="auto"/>
        <w:ind w:left="33" w:right="15" w:firstLine="1123"/>
        <w:rPr>
          <w:rFonts w:ascii="Times New Roman" w:hAnsi="Times New Roman" w:eastAsia="Times New Roman" w:cs="Times New Roman"/>
          <w:sz w:val="16"/>
          <w:szCs w:val="16"/>
        </w:rPr>
      </w:pPr>
      <w:r>
        <w:rPr>
          <w:rFonts w:ascii="宋体" w:hAnsi="宋体" w:eastAsia="宋体" w:cs="宋体"/>
          <w:spacing w:val="28"/>
          <w:sz w:val="26"/>
          <w:szCs w:val="26"/>
        </w:rPr>
        <w:t>核</w:t>
      </w:r>
      <w:r>
        <w:rPr>
          <w:rFonts w:ascii="宋体" w:hAnsi="宋体" w:eastAsia="宋体" w:cs="宋体"/>
          <w:spacing w:val="16"/>
          <w:sz w:val="26"/>
          <w:szCs w:val="26"/>
        </w:rPr>
        <w:t>算</w:t>
      </w:r>
      <w:r>
        <w:rPr>
          <w:rFonts w:ascii="宋体" w:hAnsi="宋体" w:eastAsia="宋体" w:cs="宋体"/>
          <w:spacing w:val="14"/>
          <w:sz w:val="26"/>
          <w:szCs w:val="26"/>
        </w:rPr>
        <w:t xml:space="preserve">和报告年度内第 </w:t>
      </w:r>
      <w:r>
        <w:rPr>
          <w:rFonts w:ascii="Times New Roman" w:hAnsi="Times New Roman" w:eastAsia="Times New Roman" w:cs="Times New Roman"/>
          <w:sz w:val="26"/>
          <w:szCs w:val="26"/>
        </w:rPr>
        <w:t>i</w:t>
      </w:r>
      <w:r>
        <w:rPr>
          <w:rFonts w:ascii="Times New Roman" w:hAnsi="Times New Roman" w:eastAsia="Times New Roman" w:cs="Times New Roman"/>
          <w:spacing w:val="14"/>
          <w:sz w:val="26"/>
          <w:szCs w:val="26"/>
        </w:rPr>
        <w:t xml:space="preserve"> </w:t>
      </w:r>
      <w:r>
        <w:rPr>
          <w:rFonts w:ascii="宋体" w:hAnsi="宋体" w:eastAsia="宋体" w:cs="宋体"/>
          <w:spacing w:val="14"/>
          <w:sz w:val="26"/>
          <w:szCs w:val="26"/>
        </w:rPr>
        <w:t>种化石燃料的活动水平，单位为百万</w:t>
      </w:r>
      <w:r>
        <w:rPr>
          <w:rFonts w:ascii="宋体" w:hAnsi="宋体" w:eastAsia="宋体" w:cs="宋体"/>
          <w:sz w:val="26"/>
          <w:szCs w:val="26"/>
        </w:rPr>
        <w:t xml:space="preserve"> </w:t>
      </w:r>
      <w:r>
        <w:rPr>
          <w:rFonts w:ascii="Times New Roman" w:hAnsi="Times New Roman" w:eastAsia="Times New Roman" w:cs="Times New Roman"/>
          <w:spacing w:val="10"/>
          <w:sz w:val="26"/>
          <w:szCs w:val="26"/>
        </w:rPr>
        <w:t>AD</w:t>
      </w:r>
      <w:r>
        <w:rPr>
          <w:rFonts w:ascii="Times New Roman" w:hAnsi="Times New Roman" w:eastAsia="Times New Roman" w:cs="Times New Roman"/>
          <w:spacing w:val="10"/>
          <w:position w:val="-1"/>
          <w:sz w:val="16"/>
          <w:szCs w:val="16"/>
        </w:rPr>
        <w:t>i</w:t>
      </w:r>
    </w:p>
    <w:p>
      <w:pPr>
        <w:spacing w:before="1" w:line="222" w:lineRule="auto"/>
        <w:ind w:left="1153"/>
        <w:rPr>
          <w:rFonts w:ascii="宋体" w:hAnsi="宋体" w:eastAsia="宋体" w:cs="宋体"/>
          <w:sz w:val="24"/>
          <w:szCs w:val="24"/>
        </w:rPr>
      </w:pPr>
      <w:r>
        <w:rPr>
          <w:rFonts w:ascii="宋体" w:hAnsi="宋体" w:eastAsia="宋体" w:cs="宋体"/>
          <w:spacing w:val="29"/>
          <w:sz w:val="24"/>
          <w:szCs w:val="24"/>
        </w:rPr>
        <w:t>千</w:t>
      </w:r>
      <w:r>
        <w:rPr>
          <w:rFonts w:ascii="宋体" w:hAnsi="宋体" w:eastAsia="宋体" w:cs="宋体"/>
          <w:spacing w:val="28"/>
          <w:sz w:val="24"/>
          <w:szCs w:val="24"/>
        </w:rPr>
        <w:t>焦 (</w:t>
      </w:r>
      <w:r>
        <w:rPr>
          <w:rFonts w:ascii="Times New Roman" w:hAnsi="Times New Roman" w:eastAsia="Times New Roman" w:cs="Times New Roman"/>
          <w:sz w:val="24"/>
          <w:szCs w:val="24"/>
        </w:rPr>
        <w:t>GJ</w:t>
      </w:r>
      <w:r>
        <w:rPr>
          <w:rFonts w:ascii="宋体" w:hAnsi="宋体" w:eastAsia="宋体" w:cs="宋体"/>
          <w:spacing w:val="28"/>
          <w:sz w:val="24"/>
          <w:szCs w:val="24"/>
        </w:rPr>
        <w:t>) ；</w:t>
      </w:r>
    </w:p>
    <w:p>
      <w:pPr>
        <w:spacing w:before="190" w:line="378" w:lineRule="exact"/>
        <w:ind w:right="15"/>
        <w:jc w:val="right"/>
        <w:rPr>
          <w:rFonts w:ascii="宋体" w:hAnsi="宋体" w:eastAsia="宋体" w:cs="宋体"/>
          <w:sz w:val="28"/>
          <w:szCs w:val="28"/>
        </w:rPr>
      </w:pPr>
      <w:r>
        <w:pict>
          <v:shape id="_x0000_s1028" o:spid="_x0000_s1028" o:spt="202" type="#_x0000_t202" style="position:absolute;left:0pt;margin-left:-0.9pt;margin-top:9.85pt;height:18.15pt;width:34.2pt;z-index:251665408;mso-width-relative:page;mso-height-relative:page;" filled="f" stroked="f" coordsize="21600,21600">
            <v:path/>
            <v:fill on="f" focussize="0,0"/>
            <v:stroke on="f"/>
            <v:imagedata o:title=""/>
            <o:lock v:ext="edit" aspectratio="f"/>
            <v:textbox inset="0mm,0mm,0mm,0mm">
              <w:txbxContent>
                <w:p>
                  <w:pPr>
                    <w:spacing w:before="19" w:line="241" w:lineRule="auto"/>
                    <w:ind w:left="20"/>
                    <w:rPr>
                      <w:rFonts w:ascii="Times New Roman" w:hAnsi="Times New Roman" w:eastAsia="Times New Roman" w:cs="Times New Roman"/>
                      <w:sz w:val="17"/>
                      <w:szCs w:val="17"/>
                    </w:rPr>
                  </w:pPr>
                  <w:r>
                    <w:rPr>
                      <w:rFonts w:ascii="Times New Roman" w:hAnsi="Times New Roman" w:eastAsia="Times New Roman" w:cs="Times New Roman"/>
                      <w:spacing w:val="2"/>
                      <w:sz w:val="28"/>
                      <w:szCs w:val="28"/>
                    </w:rPr>
                    <w:t>N</w:t>
                  </w:r>
                  <w:r>
                    <w:rPr>
                      <w:rFonts w:ascii="Times New Roman" w:hAnsi="Times New Roman" w:eastAsia="Times New Roman" w:cs="Times New Roman"/>
                      <w:spacing w:val="1"/>
                      <w:sz w:val="28"/>
                      <w:szCs w:val="28"/>
                    </w:rPr>
                    <w:t>CV</w:t>
                  </w:r>
                  <w:r>
                    <w:rPr>
                      <w:rFonts w:ascii="Times New Roman" w:hAnsi="Times New Roman" w:eastAsia="Times New Roman" w:cs="Times New Roman"/>
                      <w:spacing w:val="1"/>
                      <w:position w:val="-1"/>
                      <w:sz w:val="17"/>
                      <w:szCs w:val="17"/>
                    </w:rPr>
                    <w:t>i</w:t>
                  </w:r>
                </w:p>
              </w:txbxContent>
            </v:textbox>
          </v:shape>
        </w:pict>
      </w:r>
      <w:r>
        <w:rPr>
          <w:rFonts w:ascii="宋体" w:hAnsi="宋体" w:eastAsia="宋体" w:cs="宋体"/>
          <w:spacing w:val="-8"/>
          <w:position w:val="1"/>
          <w:sz w:val="28"/>
          <w:szCs w:val="28"/>
        </w:rPr>
        <w:t>核算和</w:t>
      </w:r>
      <w:r>
        <w:rPr>
          <w:rFonts w:ascii="宋体" w:hAnsi="宋体" w:eastAsia="宋体" w:cs="宋体"/>
          <w:spacing w:val="-6"/>
          <w:position w:val="1"/>
          <w:sz w:val="28"/>
          <w:szCs w:val="28"/>
        </w:rPr>
        <w:t>报</w:t>
      </w:r>
      <w:r>
        <w:rPr>
          <w:rFonts w:ascii="宋体" w:hAnsi="宋体" w:eastAsia="宋体" w:cs="宋体"/>
          <w:spacing w:val="-4"/>
          <w:position w:val="1"/>
          <w:sz w:val="28"/>
          <w:szCs w:val="28"/>
        </w:rPr>
        <w:t xml:space="preserve">告年度内第 </w:t>
      </w:r>
      <w:r>
        <w:rPr>
          <w:rFonts w:ascii="Times New Roman" w:hAnsi="Times New Roman" w:eastAsia="Times New Roman" w:cs="Times New Roman"/>
          <w:spacing w:val="-4"/>
          <w:position w:val="1"/>
          <w:sz w:val="28"/>
          <w:szCs w:val="28"/>
        </w:rPr>
        <w:t xml:space="preserve">i </w:t>
      </w:r>
      <w:r>
        <w:rPr>
          <w:rFonts w:ascii="宋体" w:hAnsi="宋体" w:eastAsia="宋体" w:cs="宋体"/>
          <w:spacing w:val="-4"/>
          <w:position w:val="1"/>
          <w:sz w:val="28"/>
          <w:szCs w:val="28"/>
        </w:rPr>
        <w:t>种燃料的平均低位发热量，对固体或</w:t>
      </w:r>
    </w:p>
    <w:p>
      <w:pPr>
        <w:spacing w:before="112" w:line="377" w:lineRule="exact"/>
        <w:ind w:left="1155"/>
        <w:rPr>
          <w:rFonts w:ascii="Times New Roman" w:hAnsi="Times New Roman" w:eastAsia="Times New Roman" w:cs="Times New Roman"/>
          <w:sz w:val="28"/>
          <w:szCs w:val="28"/>
        </w:rPr>
      </w:pPr>
      <w:r>
        <w:rPr>
          <w:rFonts w:ascii="宋体" w:hAnsi="宋体" w:eastAsia="宋体" w:cs="宋体"/>
          <w:spacing w:val="-11"/>
          <w:position w:val="2"/>
          <w:sz w:val="28"/>
          <w:szCs w:val="28"/>
        </w:rPr>
        <w:t>液</w:t>
      </w:r>
      <w:r>
        <w:rPr>
          <w:rFonts w:ascii="宋体" w:hAnsi="宋体" w:eastAsia="宋体" w:cs="宋体"/>
          <w:spacing w:val="-7"/>
          <w:position w:val="2"/>
          <w:sz w:val="28"/>
          <w:szCs w:val="28"/>
        </w:rPr>
        <w:t xml:space="preserve">体燃料，单位为 </w:t>
      </w:r>
      <w:r>
        <w:rPr>
          <w:rFonts w:ascii="Times New Roman" w:hAnsi="Times New Roman" w:eastAsia="Times New Roman" w:cs="Times New Roman"/>
          <w:spacing w:val="-7"/>
          <w:position w:val="2"/>
          <w:sz w:val="28"/>
          <w:szCs w:val="28"/>
        </w:rPr>
        <w:t>GJ/t</w:t>
      </w:r>
      <w:r>
        <w:rPr>
          <w:rFonts w:ascii="宋体" w:hAnsi="宋体" w:eastAsia="宋体" w:cs="宋体"/>
          <w:spacing w:val="-7"/>
          <w:position w:val="2"/>
          <w:sz w:val="28"/>
          <w:szCs w:val="28"/>
        </w:rPr>
        <w:t xml:space="preserve">；对气体燃料，单位为 </w:t>
      </w:r>
      <w:r>
        <w:rPr>
          <w:rFonts w:ascii="Times New Roman" w:hAnsi="Times New Roman" w:eastAsia="Times New Roman" w:cs="Times New Roman"/>
          <w:spacing w:val="-7"/>
          <w:position w:val="2"/>
          <w:sz w:val="28"/>
          <w:szCs w:val="28"/>
        </w:rPr>
        <w:t>GJ/</w:t>
      </w:r>
      <w:r>
        <w:rPr>
          <w:rFonts w:ascii="宋体" w:hAnsi="宋体" w:eastAsia="宋体" w:cs="宋体"/>
          <w:spacing w:val="-7"/>
          <w:position w:val="2"/>
          <w:sz w:val="28"/>
          <w:szCs w:val="28"/>
        </w:rPr>
        <w:t xml:space="preserve">万 </w:t>
      </w:r>
      <w:r>
        <w:rPr>
          <w:rFonts w:ascii="Times New Roman" w:hAnsi="Times New Roman" w:eastAsia="Times New Roman" w:cs="Times New Roman"/>
          <w:spacing w:val="-7"/>
          <w:position w:val="2"/>
          <w:sz w:val="28"/>
          <w:szCs w:val="28"/>
        </w:rPr>
        <w:t>Nm</w:t>
      </w:r>
      <w:r>
        <w:rPr>
          <w:rFonts w:ascii="Times New Roman" w:hAnsi="Times New Roman" w:eastAsia="Times New Roman" w:cs="Times New Roman"/>
          <w:spacing w:val="-7"/>
          <w:position w:val="11"/>
          <w:sz w:val="17"/>
          <w:szCs w:val="17"/>
        </w:rPr>
        <w:t xml:space="preserve">3 </w:t>
      </w:r>
      <w:r>
        <w:rPr>
          <w:rFonts w:ascii="Times New Roman" w:hAnsi="Times New Roman" w:eastAsia="Times New Roman" w:cs="Times New Roman"/>
          <w:spacing w:val="-7"/>
          <w:position w:val="2"/>
          <w:sz w:val="28"/>
          <w:szCs w:val="28"/>
        </w:rPr>
        <w:t>;</w:t>
      </w:r>
    </w:p>
    <w:p>
      <w:pPr>
        <w:spacing w:before="191" w:line="235" w:lineRule="auto"/>
        <w:ind w:left="35" w:right="15" w:firstLine="1121"/>
        <w:rPr>
          <w:rFonts w:ascii="Times New Roman" w:hAnsi="Times New Roman" w:eastAsia="Times New Roman" w:cs="Times New Roman"/>
          <w:sz w:val="17"/>
          <w:szCs w:val="17"/>
        </w:rPr>
      </w:pPr>
      <w:r>
        <w:pict>
          <v:shape id="_x0000_s1029" o:spid="_x0000_s1029" o:spt="202" type="#_x0000_t202" style="position:absolute;left:0pt;margin-left:56.65pt;margin-top:33.1pt;height:20.9pt;width:273.85pt;z-index:251664384;mso-width-relative:page;mso-height-relative:page;" filled="f" stroked="f" coordsize="21600,21600">
            <v:path/>
            <v:fill on="f" focussize="0,0"/>
            <v:stroke on="f"/>
            <v:imagedata o:title=""/>
            <o:lock v:ext="edit" aspectratio="f"/>
            <v:textbox inset="0mm,0mm,0mm,0mm">
              <w:txbxContent>
                <w:p>
                  <w:pPr>
                    <w:spacing w:before="20" w:line="377" w:lineRule="exact"/>
                    <w:ind w:left="20"/>
                    <w:rPr>
                      <w:rFonts w:ascii="宋体" w:hAnsi="宋体" w:eastAsia="宋体" w:cs="宋体"/>
                      <w:sz w:val="28"/>
                      <w:szCs w:val="28"/>
                    </w:rPr>
                  </w:pPr>
                  <w:r>
                    <w:rPr>
                      <w:rFonts w:ascii="宋体" w:hAnsi="宋体" w:eastAsia="宋体" w:cs="宋体"/>
                      <w:spacing w:val="-4"/>
                      <w:position w:val="1"/>
                      <w:sz w:val="28"/>
                      <w:szCs w:val="28"/>
                    </w:rPr>
                    <w:t>料</w:t>
                  </w:r>
                  <w:r>
                    <w:rPr>
                      <w:rFonts w:ascii="宋体" w:hAnsi="宋体" w:eastAsia="宋体" w:cs="宋体"/>
                      <w:spacing w:val="-2"/>
                      <w:position w:val="1"/>
                      <w:sz w:val="28"/>
                      <w:szCs w:val="28"/>
                    </w:rPr>
                    <w:t>，单位为</w:t>
                  </w:r>
                  <w:r>
                    <w:rPr>
                      <w:rFonts w:ascii="Times New Roman" w:hAnsi="Times New Roman" w:eastAsia="Times New Roman" w:cs="Times New Roman"/>
                      <w:spacing w:val="-2"/>
                      <w:position w:val="1"/>
                      <w:sz w:val="28"/>
                      <w:szCs w:val="28"/>
                    </w:rPr>
                    <w:t>t</w:t>
                  </w:r>
                  <w:r>
                    <w:rPr>
                      <w:rFonts w:ascii="宋体" w:hAnsi="宋体" w:eastAsia="宋体" w:cs="宋体"/>
                      <w:spacing w:val="-2"/>
                      <w:position w:val="1"/>
                      <w:sz w:val="28"/>
                      <w:szCs w:val="28"/>
                    </w:rPr>
                    <w:t xml:space="preserve">；对气体燃料，单位为万 </w:t>
                  </w:r>
                  <w:r>
                    <w:rPr>
                      <w:rFonts w:ascii="Times New Roman" w:hAnsi="Times New Roman" w:eastAsia="Times New Roman" w:cs="Times New Roman"/>
                      <w:spacing w:val="-2"/>
                      <w:position w:val="1"/>
                      <w:sz w:val="28"/>
                      <w:szCs w:val="28"/>
                    </w:rPr>
                    <w:t>Nm</w:t>
                  </w:r>
                  <w:r>
                    <w:rPr>
                      <w:rFonts w:ascii="Times New Roman" w:hAnsi="Times New Roman" w:eastAsia="Times New Roman" w:cs="Times New Roman"/>
                      <w:spacing w:val="-2"/>
                      <w:position w:val="10"/>
                      <w:sz w:val="17"/>
                      <w:szCs w:val="17"/>
                    </w:rPr>
                    <w:t>3</w:t>
                  </w:r>
                  <w:r>
                    <w:rPr>
                      <w:rFonts w:ascii="宋体" w:hAnsi="宋体" w:eastAsia="宋体" w:cs="宋体"/>
                      <w:spacing w:val="-2"/>
                      <w:position w:val="1"/>
                      <w:sz w:val="28"/>
                      <w:szCs w:val="28"/>
                    </w:rPr>
                    <w:t>。</w:t>
                  </w:r>
                </w:p>
              </w:txbxContent>
            </v:textbox>
          </v:shape>
        </w:pict>
      </w:r>
      <w:r>
        <w:rPr>
          <w:rFonts w:ascii="宋体" w:hAnsi="宋体" w:eastAsia="宋体" w:cs="宋体"/>
          <w:spacing w:val="-8"/>
          <w:sz w:val="28"/>
          <w:szCs w:val="28"/>
        </w:rPr>
        <w:t>核算和</w:t>
      </w:r>
      <w:r>
        <w:rPr>
          <w:rFonts w:ascii="宋体" w:hAnsi="宋体" w:eastAsia="宋体" w:cs="宋体"/>
          <w:spacing w:val="-6"/>
          <w:sz w:val="28"/>
          <w:szCs w:val="28"/>
        </w:rPr>
        <w:t>报</w:t>
      </w:r>
      <w:r>
        <w:rPr>
          <w:rFonts w:ascii="宋体" w:hAnsi="宋体" w:eastAsia="宋体" w:cs="宋体"/>
          <w:spacing w:val="-4"/>
          <w:sz w:val="28"/>
          <w:szCs w:val="28"/>
        </w:rPr>
        <w:t xml:space="preserve">告年度内第 </w:t>
      </w:r>
      <w:r>
        <w:rPr>
          <w:rFonts w:ascii="Times New Roman" w:hAnsi="Times New Roman" w:eastAsia="Times New Roman" w:cs="Times New Roman"/>
          <w:spacing w:val="-4"/>
          <w:sz w:val="28"/>
          <w:szCs w:val="28"/>
        </w:rPr>
        <w:t xml:space="preserve">i </w:t>
      </w:r>
      <w:r>
        <w:rPr>
          <w:rFonts w:ascii="宋体" w:hAnsi="宋体" w:eastAsia="宋体" w:cs="宋体"/>
          <w:spacing w:val="-4"/>
          <w:sz w:val="28"/>
          <w:szCs w:val="28"/>
        </w:rPr>
        <w:t>种燃料的净消耗量，对固体或液体燃</w:t>
      </w:r>
      <w:r>
        <w:rPr>
          <w:rFonts w:ascii="宋体" w:hAnsi="宋体" w:eastAsia="宋体" w:cs="宋体"/>
          <w:sz w:val="28"/>
          <w:szCs w:val="28"/>
        </w:rPr>
        <w:t xml:space="preserve"> </w:t>
      </w:r>
      <w:r>
        <w:rPr>
          <w:rFonts w:ascii="Times New Roman" w:hAnsi="Times New Roman" w:eastAsia="Times New Roman" w:cs="Times New Roman"/>
          <w:spacing w:val="-1"/>
          <w:sz w:val="28"/>
          <w:szCs w:val="28"/>
        </w:rPr>
        <w:t>FC</w:t>
      </w:r>
      <w:r>
        <w:rPr>
          <w:rFonts w:ascii="Times New Roman" w:hAnsi="Times New Roman" w:eastAsia="Times New Roman" w:cs="Times New Roman"/>
          <w:position w:val="-1"/>
          <w:sz w:val="17"/>
          <w:szCs w:val="17"/>
        </w:rPr>
        <w:t>i</w:t>
      </w:r>
    </w:p>
    <w:p>
      <w:pPr>
        <w:spacing w:line="347" w:lineRule="auto"/>
        <w:rPr>
          <w:rFonts w:ascii="Arial"/>
          <w:sz w:val="21"/>
        </w:rPr>
      </w:pPr>
    </w:p>
    <w:p>
      <w:pPr>
        <w:pStyle w:val="8"/>
        <w:bidi w:val="0"/>
      </w:pPr>
      <w:r>
        <w:t>排放因子数据的计算公式为：</w:t>
      </w:r>
    </w:p>
    <w:p>
      <w:pPr>
        <w:spacing w:line="378" w:lineRule="exact"/>
        <w:ind w:left="36"/>
        <w:rPr>
          <w:rFonts w:ascii="宋体" w:hAnsi="宋体" w:eastAsia="宋体" w:cs="宋体"/>
          <w:sz w:val="28"/>
          <w:szCs w:val="28"/>
        </w:rPr>
      </w:pPr>
      <w:r>
        <w:rPr>
          <w:rFonts w:ascii="Times New Roman" w:hAnsi="Times New Roman" w:eastAsia="Times New Roman" w:cs="Times New Roman"/>
          <w:spacing w:val="-6"/>
          <w:position w:val="1"/>
          <w:sz w:val="28"/>
          <w:szCs w:val="28"/>
        </w:rPr>
        <w:t>EF</w:t>
      </w:r>
      <w:r>
        <w:rPr>
          <w:rFonts w:ascii="Times New Roman" w:hAnsi="Times New Roman" w:eastAsia="Times New Roman" w:cs="Times New Roman"/>
          <w:spacing w:val="-6"/>
          <w:sz w:val="17"/>
          <w:szCs w:val="17"/>
        </w:rPr>
        <w:t>i</w:t>
      </w:r>
      <w:r>
        <w:rPr>
          <w:rFonts w:ascii="Times New Roman" w:hAnsi="Times New Roman" w:eastAsia="Times New Roman" w:cs="Times New Roman"/>
          <w:spacing w:val="-9"/>
          <w:position w:val="1"/>
          <w:sz w:val="28"/>
          <w:szCs w:val="28"/>
        </w:rPr>
        <w:t>=</w:t>
      </w:r>
      <w:r>
        <w:rPr>
          <w:rFonts w:ascii="Times New Roman" w:hAnsi="Times New Roman" w:eastAsia="Times New Roman" w:cs="Times New Roman"/>
          <w:spacing w:val="-6"/>
          <w:position w:val="1"/>
          <w:sz w:val="28"/>
          <w:szCs w:val="28"/>
        </w:rPr>
        <w:t>CC</w:t>
      </w:r>
      <w:r>
        <w:rPr>
          <w:rFonts w:ascii="Times New Roman" w:hAnsi="Times New Roman" w:eastAsia="Times New Roman" w:cs="Times New Roman"/>
          <w:spacing w:val="-6"/>
          <w:sz w:val="17"/>
          <w:szCs w:val="17"/>
        </w:rPr>
        <w:t xml:space="preserve">i </w:t>
      </w:r>
      <w:r>
        <w:rPr>
          <w:rFonts w:ascii="Times New Roman" w:hAnsi="Times New Roman" w:eastAsia="Times New Roman" w:cs="Times New Roman"/>
          <w:spacing w:val="-6"/>
          <w:position w:val="1"/>
          <w:sz w:val="28"/>
          <w:szCs w:val="28"/>
        </w:rPr>
        <w:t>×OF</w:t>
      </w:r>
      <w:r>
        <w:rPr>
          <w:rFonts w:ascii="Times New Roman" w:hAnsi="Times New Roman" w:eastAsia="Times New Roman" w:cs="Times New Roman"/>
          <w:spacing w:val="-6"/>
          <w:sz w:val="17"/>
          <w:szCs w:val="17"/>
        </w:rPr>
        <w:t xml:space="preserve">i </w:t>
      </w:r>
      <w:r>
        <w:rPr>
          <w:rFonts w:ascii="Times New Roman" w:hAnsi="Times New Roman" w:eastAsia="Times New Roman" w:cs="Times New Roman"/>
          <w:spacing w:val="-6"/>
          <w:position w:val="1"/>
          <w:sz w:val="28"/>
          <w:szCs w:val="28"/>
        </w:rPr>
        <w:t xml:space="preserve">×44/ 12  </w:t>
      </w:r>
      <w:r>
        <w:rPr>
          <w:rFonts w:ascii="宋体" w:hAnsi="宋体" w:eastAsia="宋体" w:cs="宋体"/>
          <w:spacing w:val="-6"/>
          <w:position w:val="1"/>
          <w:sz w:val="28"/>
          <w:szCs w:val="28"/>
        </w:rPr>
        <w:t>(</w:t>
      </w:r>
      <w:r>
        <w:rPr>
          <w:rFonts w:ascii="Times New Roman" w:hAnsi="Times New Roman" w:eastAsia="Times New Roman" w:cs="Times New Roman"/>
          <w:spacing w:val="-6"/>
          <w:position w:val="1"/>
          <w:sz w:val="28"/>
          <w:szCs w:val="28"/>
        </w:rPr>
        <w:t>4</w:t>
      </w:r>
      <w:r>
        <w:rPr>
          <w:rFonts w:ascii="宋体" w:hAnsi="宋体" w:eastAsia="宋体" w:cs="宋体"/>
          <w:spacing w:val="-6"/>
          <w:position w:val="1"/>
          <w:sz w:val="28"/>
          <w:szCs w:val="28"/>
        </w:rPr>
        <w:t>)</w:t>
      </w:r>
    </w:p>
    <w:p>
      <w:pPr>
        <w:spacing w:before="190" w:line="235" w:lineRule="auto"/>
        <w:ind w:left="36" w:right="177" w:firstLine="1116"/>
        <w:rPr>
          <w:rFonts w:ascii="Times New Roman" w:hAnsi="Times New Roman" w:eastAsia="Times New Roman" w:cs="Times New Roman"/>
          <w:sz w:val="17"/>
          <w:szCs w:val="17"/>
        </w:rPr>
      </w:pPr>
      <w:r>
        <w:pict>
          <v:shape id="_x0000_s1030" o:spid="_x0000_s1030" o:spt="202" type="#_x0000_t202" style="position:absolute;left:0pt;margin-left:1.05pt;margin-top:33pt;height:64pt;width:379.75pt;z-index:251663360;mso-width-relative:page;mso-height-relative:page;" filled="f" stroked="f" coordsize="21600,21600">
            <v:path/>
            <v:fill on="f" focussize="0,0"/>
            <v:stroke on="f"/>
            <v:imagedata o:title=""/>
            <o:lock v:ext="edit" aspectratio="f"/>
            <v:textbox inset="0mm,0mm,0mm,0mm">
              <w:txbxContent>
                <w:p>
                  <w:pPr>
                    <w:spacing w:before="20" w:line="377" w:lineRule="exact"/>
                    <w:ind w:left="1141"/>
                    <w:rPr>
                      <w:rFonts w:ascii="Times New Roman" w:hAnsi="Times New Roman" w:eastAsia="Times New Roman" w:cs="Times New Roman"/>
                      <w:sz w:val="28"/>
                      <w:szCs w:val="28"/>
                    </w:rPr>
                  </w:pPr>
                  <w:r>
                    <w:rPr>
                      <w:rFonts w:ascii="宋体" w:hAnsi="宋体" w:eastAsia="宋体" w:cs="宋体"/>
                      <w:spacing w:val="1"/>
                      <w:position w:val="2"/>
                      <w:sz w:val="28"/>
                      <w:szCs w:val="28"/>
                    </w:rPr>
                    <w:t>吉</w:t>
                  </w:r>
                  <w:r>
                    <w:rPr>
                      <w:rFonts w:ascii="宋体" w:hAnsi="宋体" w:eastAsia="宋体" w:cs="宋体"/>
                      <w:position w:val="2"/>
                      <w:sz w:val="28"/>
                      <w:szCs w:val="28"/>
                    </w:rPr>
                    <w:t>焦 (</w:t>
                  </w:r>
                  <w:r>
                    <w:rPr>
                      <w:rFonts w:ascii="Times New Roman" w:hAnsi="Times New Roman" w:eastAsia="Times New Roman" w:cs="Times New Roman"/>
                      <w:position w:val="2"/>
                      <w:sz w:val="28"/>
                      <w:szCs w:val="28"/>
                    </w:rPr>
                    <w:t>tCO</w:t>
                  </w:r>
                  <w:r>
                    <w:rPr>
                      <w:rFonts w:ascii="Times New Roman" w:hAnsi="Times New Roman" w:eastAsia="Times New Roman" w:cs="Times New Roman"/>
                      <w:sz w:val="17"/>
                      <w:szCs w:val="17"/>
                    </w:rPr>
                    <w:t>2</w:t>
                  </w:r>
                  <w:r>
                    <w:rPr>
                      <w:rFonts w:ascii="Times New Roman" w:hAnsi="Times New Roman" w:eastAsia="Times New Roman" w:cs="Times New Roman"/>
                      <w:position w:val="2"/>
                      <w:sz w:val="28"/>
                      <w:szCs w:val="28"/>
                    </w:rPr>
                    <w:t>/GJ</w:t>
                  </w:r>
                  <w:r>
                    <w:rPr>
                      <w:rFonts w:ascii="宋体" w:hAnsi="宋体" w:eastAsia="宋体" w:cs="宋体"/>
                      <w:position w:val="2"/>
                      <w:sz w:val="28"/>
                      <w:szCs w:val="28"/>
                    </w:rPr>
                    <w:t xml:space="preserve">) </w:t>
                  </w:r>
                  <w:r>
                    <w:rPr>
                      <w:rFonts w:ascii="Times New Roman" w:hAnsi="Times New Roman" w:eastAsia="Times New Roman" w:cs="Times New Roman"/>
                      <w:position w:val="2"/>
                      <w:sz w:val="28"/>
                      <w:szCs w:val="28"/>
                    </w:rPr>
                    <w:t>;</w:t>
                  </w:r>
                </w:p>
                <w:p>
                  <w:pPr>
                    <w:spacing w:before="193" w:line="234" w:lineRule="auto"/>
                    <w:ind w:left="20" w:right="20" w:firstLine="1112"/>
                    <w:rPr>
                      <w:rFonts w:ascii="Times New Roman" w:hAnsi="Times New Roman" w:eastAsia="Times New Roman" w:cs="Times New Roman"/>
                      <w:sz w:val="17"/>
                      <w:szCs w:val="17"/>
                    </w:rPr>
                  </w:pPr>
                  <w:r>
                    <w:rPr>
                      <w:rFonts w:ascii="宋体" w:hAnsi="宋体" w:eastAsia="宋体" w:cs="宋体"/>
                      <w:spacing w:val="-6"/>
                      <w:sz w:val="28"/>
                      <w:szCs w:val="28"/>
                    </w:rPr>
                    <w:t>第</w:t>
                  </w:r>
                  <w:r>
                    <w:rPr>
                      <w:rFonts w:ascii="宋体" w:hAnsi="宋体" w:eastAsia="宋体" w:cs="宋体"/>
                      <w:spacing w:val="-5"/>
                      <w:sz w:val="28"/>
                      <w:szCs w:val="28"/>
                    </w:rPr>
                    <w:t xml:space="preserve"> </w:t>
                  </w:r>
                  <w:r>
                    <w:rPr>
                      <w:rFonts w:ascii="Times New Roman" w:hAnsi="Times New Roman" w:eastAsia="Times New Roman" w:cs="Times New Roman"/>
                      <w:spacing w:val="-3"/>
                      <w:sz w:val="28"/>
                      <w:szCs w:val="28"/>
                    </w:rPr>
                    <w:t xml:space="preserve">i </w:t>
                  </w:r>
                  <w:r>
                    <w:rPr>
                      <w:rFonts w:ascii="宋体" w:hAnsi="宋体" w:eastAsia="宋体" w:cs="宋体"/>
                      <w:spacing w:val="-3"/>
                      <w:sz w:val="28"/>
                      <w:szCs w:val="28"/>
                    </w:rPr>
                    <w:t>种燃料的单位热值含碳量，单位为吨碳</w:t>
                  </w:r>
                  <w:r>
                    <w:rPr>
                      <w:rFonts w:ascii="Times New Roman" w:hAnsi="Times New Roman" w:eastAsia="Times New Roman" w:cs="Times New Roman"/>
                      <w:spacing w:val="-3"/>
                      <w:sz w:val="28"/>
                      <w:szCs w:val="28"/>
                    </w:rPr>
                    <w:t>/</w:t>
                  </w:r>
                  <w:r>
                    <w:rPr>
                      <w:rFonts w:ascii="宋体" w:hAnsi="宋体" w:eastAsia="宋体" w:cs="宋体"/>
                      <w:spacing w:val="-3"/>
                      <w:sz w:val="28"/>
                      <w:szCs w:val="28"/>
                    </w:rPr>
                    <w:t>百万千焦</w:t>
                  </w:r>
                  <w:r>
                    <w:rPr>
                      <w:rFonts w:ascii="宋体" w:hAnsi="宋体" w:eastAsia="宋体" w:cs="宋体"/>
                      <w:sz w:val="28"/>
                      <w:szCs w:val="28"/>
                    </w:rPr>
                    <w:t xml:space="preserve"> </w:t>
                  </w:r>
                  <w:r>
                    <w:rPr>
                      <w:rFonts w:ascii="Times New Roman" w:hAnsi="Times New Roman" w:eastAsia="Times New Roman" w:cs="Times New Roman"/>
                      <w:spacing w:val="-4"/>
                      <w:sz w:val="28"/>
                      <w:szCs w:val="28"/>
                    </w:rPr>
                    <w:t>C</w:t>
                  </w:r>
                  <w:r>
                    <w:rPr>
                      <w:rFonts w:ascii="Times New Roman" w:hAnsi="Times New Roman" w:eastAsia="Times New Roman" w:cs="Times New Roman"/>
                      <w:spacing w:val="-3"/>
                      <w:sz w:val="28"/>
                      <w:szCs w:val="28"/>
                    </w:rPr>
                    <w:t>C</w:t>
                  </w:r>
                  <w:r>
                    <w:rPr>
                      <w:rFonts w:ascii="Times New Roman" w:hAnsi="Times New Roman" w:eastAsia="Times New Roman" w:cs="Times New Roman"/>
                      <w:spacing w:val="-3"/>
                      <w:position w:val="-1"/>
                      <w:sz w:val="17"/>
                      <w:szCs w:val="17"/>
                    </w:rPr>
                    <w:t>i</w:t>
                  </w:r>
                </w:p>
              </w:txbxContent>
            </v:textbox>
          </v:shape>
        </w:pict>
      </w:r>
      <w:r>
        <w:rPr>
          <w:rFonts w:ascii="宋体" w:hAnsi="宋体" w:eastAsia="宋体" w:cs="宋体"/>
          <w:spacing w:val="-3"/>
          <w:sz w:val="28"/>
          <w:szCs w:val="28"/>
        </w:rPr>
        <w:t xml:space="preserve">第 </w:t>
      </w:r>
      <w:r>
        <w:rPr>
          <w:rFonts w:ascii="Times New Roman" w:hAnsi="Times New Roman" w:eastAsia="Times New Roman" w:cs="Times New Roman"/>
          <w:spacing w:val="-1"/>
          <w:sz w:val="28"/>
          <w:szCs w:val="28"/>
        </w:rPr>
        <w:t>i</w:t>
      </w:r>
      <w:r>
        <w:rPr>
          <w:rFonts w:ascii="Times New Roman" w:hAnsi="Times New Roman" w:eastAsia="Times New Roman" w:cs="Times New Roman"/>
          <w:spacing w:val="-3"/>
          <w:sz w:val="28"/>
          <w:szCs w:val="28"/>
        </w:rPr>
        <w:t xml:space="preserve"> </w:t>
      </w:r>
      <w:r>
        <w:rPr>
          <w:rFonts w:ascii="宋体" w:hAnsi="宋体" w:eastAsia="宋体" w:cs="宋体"/>
          <w:spacing w:val="-3"/>
          <w:sz w:val="28"/>
          <w:szCs w:val="28"/>
        </w:rPr>
        <w:t>种化石燃料的二氧化碳排放因子，单位为吨二氧化碳</w:t>
      </w:r>
      <w:r>
        <w:rPr>
          <w:rFonts w:ascii="Times New Roman" w:hAnsi="Times New Roman" w:eastAsia="Times New Roman" w:cs="Times New Roman"/>
          <w:spacing w:val="-3"/>
          <w:sz w:val="28"/>
          <w:szCs w:val="28"/>
        </w:rPr>
        <w:t>/</w:t>
      </w:r>
      <w:r>
        <w:rPr>
          <w:rFonts w:ascii="Times New Roman" w:hAnsi="Times New Roman" w:eastAsia="Times New Roman" w:cs="Times New Roman"/>
          <w:sz w:val="28"/>
          <w:szCs w:val="28"/>
        </w:rPr>
        <w:t xml:space="preserve"> </w:t>
      </w:r>
      <w:r>
        <w:rPr>
          <w:rFonts w:ascii="Times New Roman" w:hAnsi="Times New Roman" w:eastAsia="Times New Roman" w:cs="Times New Roman"/>
          <w:spacing w:val="-2"/>
          <w:sz w:val="28"/>
          <w:szCs w:val="28"/>
        </w:rPr>
        <w:t>E</w:t>
      </w:r>
      <w:r>
        <w:rPr>
          <w:rFonts w:ascii="Times New Roman" w:hAnsi="Times New Roman" w:eastAsia="Times New Roman" w:cs="Times New Roman"/>
          <w:spacing w:val="-1"/>
          <w:sz w:val="28"/>
          <w:szCs w:val="28"/>
        </w:rPr>
        <w:t>F</w:t>
      </w:r>
      <w:r>
        <w:rPr>
          <w:rFonts w:ascii="Times New Roman" w:hAnsi="Times New Roman" w:eastAsia="Times New Roman" w:cs="Times New Roman"/>
          <w:spacing w:val="-1"/>
          <w:position w:val="-1"/>
          <w:sz w:val="17"/>
          <w:szCs w:val="17"/>
        </w:rPr>
        <w:t>i</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92" w:line="378" w:lineRule="exact"/>
        <w:ind w:left="1161"/>
        <w:rPr>
          <w:rFonts w:ascii="宋体" w:hAnsi="宋体" w:eastAsia="宋体" w:cs="宋体"/>
          <w:sz w:val="28"/>
          <w:szCs w:val="28"/>
        </w:rPr>
      </w:pPr>
      <w:r>
        <w:rPr>
          <w:rFonts w:ascii="宋体" w:hAnsi="宋体" w:eastAsia="宋体" w:cs="宋体"/>
          <w:spacing w:val="12"/>
          <w:position w:val="1"/>
          <w:sz w:val="28"/>
          <w:szCs w:val="28"/>
        </w:rPr>
        <w:t>(</w:t>
      </w:r>
      <w:r>
        <w:rPr>
          <w:rFonts w:ascii="Times New Roman" w:hAnsi="Times New Roman" w:eastAsia="Times New Roman" w:cs="Times New Roman"/>
          <w:position w:val="1"/>
          <w:sz w:val="28"/>
          <w:szCs w:val="28"/>
        </w:rPr>
        <w:t>tC</w:t>
      </w:r>
      <w:r>
        <w:rPr>
          <w:rFonts w:ascii="Times New Roman" w:hAnsi="Times New Roman" w:eastAsia="Times New Roman" w:cs="Times New Roman"/>
          <w:spacing w:val="12"/>
          <w:position w:val="1"/>
          <w:sz w:val="28"/>
          <w:szCs w:val="28"/>
        </w:rPr>
        <w:t>/</w:t>
      </w:r>
      <w:r>
        <w:rPr>
          <w:rFonts w:ascii="Times New Roman" w:hAnsi="Times New Roman" w:eastAsia="Times New Roman" w:cs="Times New Roman"/>
          <w:position w:val="1"/>
          <w:sz w:val="28"/>
          <w:szCs w:val="28"/>
        </w:rPr>
        <w:t>GJ</w:t>
      </w:r>
      <w:r>
        <w:rPr>
          <w:rFonts w:ascii="宋体" w:hAnsi="宋体" w:eastAsia="宋体" w:cs="宋体"/>
          <w:spacing w:val="6"/>
          <w:position w:val="1"/>
          <w:sz w:val="28"/>
          <w:szCs w:val="28"/>
        </w:rPr>
        <w:t>) ，采用本指南所提供的推荐值；</w:t>
      </w:r>
    </w:p>
    <w:p>
      <w:pPr>
        <w:spacing w:before="190" w:line="219" w:lineRule="auto"/>
        <w:ind w:left="40" w:right="46" w:firstLine="1112"/>
        <w:rPr>
          <w:rFonts w:ascii="Times New Roman" w:hAnsi="Times New Roman" w:eastAsia="Times New Roman" w:cs="Times New Roman"/>
          <w:sz w:val="16"/>
          <w:szCs w:val="16"/>
        </w:rPr>
      </w:pPr>
      <w:r>
        <w:rPr>
          <w:rFonts w:ascii="宋体" w:hAnsi="宋体" w:eastAsia="宋体" w:cs="宋体"/>
          <w:spacing w:val="13"/>
          <w:sz w:val="26"/>
          <w:szCs w:val="26"/>
        </w:rPr>
        <w:t>第</w:t>
      </w:r>
      <w:r>
        <w:rPr>
          <w:rFonts w:ascii="宋体" w:hAnsi="宋体" w:eastAsia="宋体" w:cs="宋体"/>
          <w:spacing w:val="8"/>
          <w:sz w:val="26"/>
          <w:szCs w:val="26"/>
        </w:rPr>
        <w:t xml:space="preserve"> </w:t>
      </w:r>
      <w:r>
        <w:rPr>
          <w:rFonts w:ascii="Times New Roman" w:hAnsi="Times New Roman" w:eastAsia="Times New Roman" w:cs="Times New Roman"/>
          <w:sz w:val="26"/>
          <w:szCs w:val="26"/>
        </w:rPr>
        <w:t>i</w:t>
      </w:r>
      <w:r>
        <w:rPr>
          <w:rFonts w:ascii="Times New Roman" w:hAnsi="Times New Roman" w:eastAsia="Times New Roman" w:cs="Times New Roman"/>
          <w:spacing w:val="8"/>
          <w:sz w:val="26"/>
          <w:szCs w:val="26"/>
        </w:rPr>
        <w:t xml:space="preserve"> </w:t>
      </w:r>
      <w:r>
        <w:rPr>
          <w:rFonts w:ascii="宋体" w:hAnsi="宋体" w:eastAsia="宋体" w:cs="宋体"/>
          <w:spacing w:val="8"/>
          <w:sz w:val="26"/>
          <w:szCs w:val="26"/>
        </w:rPr>
        <w:t xml:space="preserve">种化石燃料的碳氧化率，单位为％ ，采用本指南附录 </w:t>
      </w:r>
      <w:r>
        <w:rPr>
          <w:rFonts w:ascii="Times New Roman" w:hAnsi="Times New Roman" w:eastAsia="Times New Roman" w:cs="Times New Roman"/>
          <w:spacing w:val="8"/>
          <w:sz w:val="26"/>
          <w:szCs w:val="26"/>
        </w:rPr>
        <w:t>2</w:t>
      </w:r>
      <w:r>
        <w:rPr>
          <w:rFonts w:ascii="Times New Roman" w:hAnsi="Times New Roman" w:eastAsia="Times New Roman" w:cs="Times New Roman"/>
          <w:sz w:val="26"/>
          <w:szCs w:val="26"/>
        </w:rPr>
        <w:t xml:space="preserve"> </w:t>
      </w:r>
      <w:r>
        <w:rPr>
          <w:rFonts w:ascii="Times New Roman" w:hAnsi="Times New Roman" w:eastAsia="Times New Roman" w:cs="Times New Roman"/>
          <w:spacing w:val="7"/>
          <w:sz w:val="26"/>
          <w:szCs w:val="26"/>
        </w:rPr>
        <w:t>OF</w:t>
      </w:r>
      <w:r>
        <w:rPr>
          <w:rFonts w:ascii="Times New Roman" w:hAnsi="Times New Roman" w:eastAsia="Times New Roman" w:cs="Times New Roman"/>
          <w:spacing w:val="6"/>
          <w:position w:val="-1"/>
          <w:sz w:val="16"/>
          <w:szCs w:val="16"/>
        </w:rPr>
        <w:t>i</w:t>
      </w:r>
    </w:p>
    <w:p>
      <w:pPr>
        <w:spacing w:line="219" w:lineRule="auto"/>
        <w:ind w:left="1153"/>
        <w:rPr>
          <w:rFonts w:ascii="宋体" w:hAnsi="宋体" w:eastAsia="宋体" w:cs="宋体"/>
          <w:sz w:val="24"/>
          <w:szCs w:val="24"/>
        </w:rPr>
      </w:pPr>
      <w:r>
        <w:rPr>
          <w:rFonts w:ascii="宋体" w:hAnsi="宋体" w:eastAsia="宋体" w:cs="宋体"/>
          <w:spacing w:val="39"/>
          <w:sz w:val="24"/>
          <w:szCs w:val="24"/>
        </w:rPr>
        <w:t>所</w:t>
      </w:r>
      <w:r>
        <w:rPr>
          <w:rFonts w:ascii="宋体" w:hAnsi="宋体" w:eastAsia="宋体" w:cs="宋体"/>
          <w:spacing w:val="33"/>
          <w:sz w:val="24"/>
          <w:szCs w:val="24"/>
        </w:rPr>
        <w:t>提供的推荐值。</w:t>
      </w:r>
    </w:p>
    <w:p>
      <w:pPr>
        <w:pStyle w:val="5"/>
        <w:bidi w:val="0"/>
        <w:rPr>
          <w:highlight w:val="none"/>
        </w:rPr>
      </w:pPr>
      <w:bookmarkStart w:id="38" w:name="_bookmark20"/>
      <w:bookmarkEnd w:id="38"/>
      <w:bookmarkStart w:id="39" w:name="_Toc31963"/>
      <w:r>
        <w:rPr>
          <w:highlight w:val="none"/>
        </w:rPr>
        <w:t>3.3.2工业生产过程排放</w:t>
      </w:r>
      <w:bookmarkEnd w:id="39"/>
    </w:p>
    <w:p>
      <w:pPr>
        <w:pStyle w:val="8"/>
        <w:bidi w:val="0"/>
      </w:pPr>
      <w:r>
        <w:rPr>
          <w:rFonts w:hint="eastAsia"/>
          <w:lang w:eastAsia="zh-CN"/>
        </w:rPr>
        <w:t>电气机械及器材制造业</w:t>
      </w:r>
      <w:r>
        <w:t>的过程排放由各工艺环节产生的过程排放加总获得，具体按公式 (5) 计算：</w:t>
      </w:r>
    </w:p>
    <w:p>
      <w:pPr>
        <w:pStyle w:val="8"/>
        <w:bidi w:val="0"/>
      </w:pPr>
      <w:bookmarkStart w:id="40" w:name="_bookmark21"/>
      <w:bookmarkEnd w:id="40"/>
      <w:r>
        <w:t>工业生产过程温室气体排放量等于工业生产过程中不同种类的温室气体排放折算成CO2 当量后的和：</w:t>
      </w:r>
    </w:p>
    <w:p>
      <w:pPr>
        <w:spacing w:line="217" w:lineRule="auto"/>
        <w:jc w:val="right"/>
        <w:rPr>
          <w:rFonts w:ascii="仿宋" w:hAnsi="仿宋" w:eastAsia="仿宋" w:cs="仿宋"/>
          <w:sz w:val="32"/>
          <w:szCs w:val="32"/>
        </w:rPr>
      </w:pPr>
      <w:r>
        <mc:AlternateContent>
          <mc:Choice Requires="wps">
            <w:drawing>
              <wp:anchor distT="0" distB="0" distL="114300" distR="114300" simplePos="0" relativeHeight="251686912" behindDoc="0" locked="0" layoutInCell="1" allowOverlap="1">
                <wp:simplePos x="0" y="0"/>
                <wp:positionH relativeFrom="column">
                  <wp:posOffset>2371090</wp:posOffset>
                </wp:positionH>
                <wp:positionV relativeFrom="paragraph">
                  <wp:posOffset>107315</wp:posOffset>
                </wp:positionV>
                <wp:extent cx="73660" cy="17907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73660" cy="179070"/>
                        </a:xfrm>
                        <a:prstGeom prst="rect">
                          <a:avLst/>
                        </a:prstGeom>
                        <a:noFill/>
                        <a:ln>
                          <a:noFill/>
                        </a:ln>
                      </wps:spPr>
                      <wps:txbx>
                        <w:txbxContent>
                          <w:p>
                            <w:pPr>
                              <w:tabs>
                                <w:tab w:val="left" w:pos="95"/>
                              </w:tabs>
                              <w:spacing w:before="20" w:line="241" w:lineRule="exact"/>
                              <w:ind w:left="20"/>
                              <w:rPr>
                                <w:rFonts w:ascii="Arial"/>
                                <w:sz w:val="21"/>
                              </w:rPr>
                            </w:pPr>
                            <w:r>
                              <w:rPr>
                                <w:rFonts w:ascii="Arial" w:hAnsi="Arial" w:eastAsia="Arial" w:cs="Arial"/>
                                <w:sz w:val="21"/>
                                <w:szCs w:val="21"/>
                                <w:u w:val="single" w:color="auto"/>
                              </w:rPr>
                              <w:tab/>
                            </w:r>
                          </w:p>
                        </w:txbxContent>
                      </wps:txbx>
                      <wps:bodyPr lIns="0" tIns="0" rIns="0" bIns="0" upright="1"/>
                    </wps:wsp>
                  </a:graphicData>
                </a:graphic>
              </wp:anchor>
            </w:drawing>
          </mc:Choice>
          <mc:Fallback>
            <w:pict>
              <v:shape id="_x0000_s1026" o:spid="_x0000_s1026" o:spt="202" type="#_x0000_t202" style="position:absolute;left:0pt;margin-left:186.7pt;margin-top:8.45pt;height:14.1pt;width:5.8pt;z-index:251686912;mso-width-relative:page;mso-height-relative:page;" filled="f" stroked="f" coordsize="21600,21600" o:gfxdata="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SauOB9kAAAAJAQAADwAAAAAAAAABACAAAAAiAAAAZHJzL2Rvd25yZXYueG1sUEsB&#10;AhQAFAAAAAgAh07iQBWD4Ne7AQAAcgMAAA4AAAAAAAAAAQAgAAAAKAEAAGRycy9lMm9Eb2MueG1s&#10;UEsFBgAAAAAGAAYAWQEAAFUFAAAAAA==&#10;">
                <v:fill on="f" focussize="0,0"/>
                <v:stroke on="f"/>
                <v:imagedata o:title=""/>
                <o:lock v:ext="edit" aspectratio="f"/>
                <v:textbox inset="0mm,0mm,0mm,0mm">
                  <w:txbxContent>
                    <w:p>
                      <w:pPr>
                        <w:tabs>
                          <w:tab w:val="left" w:pos="95"/>
                        </w:tabs>
                        <w:spacing w:before="20" w:line="241" w:lineRule="exact"/>
                        <w:ind w:left="20"/>
                        <w:rPr>
                          <w:rFonts w:ascii="Arial"/>
                          <w:sz w:val="21"/>
                        </w:rPr>
                      </w:pPr>
                      <w:r>
                        <w:rPr>
                          <w:rFonts w:ascii="Arial" w:hAnsi="Arial" w:eastAsia="Arial" w:cs="Arial"/>
                          <w:sz w:val="21"/>
                          <w:szCs w:val="21"/>
                          <w:u w:val="single" w:color="auto"/>
                        </w:rPr>
                        <w:tab/>
                      </w:r>
                    </w:p>
                  </w:txbxContent>
                </v:textbox>
              </v:shape>
            </w:pict>
          </mc:Fallback>
        </mc:AlternateContent>
      </w:r>
      <w:r>
        <w:rPr>
          <w:rFonts w:ascii="Times New Roman" w:hAnsi="Times New Roman" w:eastAsia="Times New Roman" w:cs="Times New Roman"/>
          <w:position w:val="-13"/>
          <w:sz w:val="32"/>
          <w:szCs w:val="32"/>
        </w:rPr>
        <w:drawing>
          <wp:inline distT="0" distB="0" distL="0" distR="0">
            <wp:extent cx="2791460" cy="212090"/>
            <wp:effectExtent l="0" t="0" r="2540" b="381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r:embed="rId42"/>
                    <a:stretch>
                      <a:fillRect/>
                    </a:stretch>
                  </pic:blipFill>
                  <pic:spPr>
                    <a:xfrm>
                      <a:off x="0" y="0"/>
                      <a:ext cx="2791967" cy="212597"/>
                    </a:xfrm>
                    <a:prstGeom prst="rect">
                      <a:avLst/>
                    </a:prstGeom>
                  </pic:spPr>
                </pic:pic>
              </a:graphicData>
            </a:graphic>
          </wp:inline>
        </w:drawing>
      </w:r>
      <w:r>
        <w:rPr>
          <w:rFonts w:ascii="Times New Roman" w:hAnsi="Times New Roman" w:eastAsia="Times New Roman" w:cs="Times New Roman"/>
          <w:spacing w:val="-10"/>
          <w:sz w:val="32"/>
          <w:szCs w:val="32"/>
        </w:rPr>
        <w:t xml:space="preserve"> </w:t>
      </w:r>
      <w:r>
        <w:rPr>
          <w:rFonts w:ascii="Times New Roman" w:hAnsi="Times New Roman" w:eastAsia="Times New Roman" w:cs="Times New Roman"/>
          <w:spacing w:val="-6"/>
          <w:sz w:val="32"/>
          <w:szCs w:val="32"/>
        </w:rPr>
        <w:t xml:space="preserve"> </w:t>
      </w:r>
      <w:r>
        <w:rPr>
          <w:rFonts w:ascii="Times New Roman" w:hAnsi="Times New Roman" w:eastAsia="Times New Roman" w:cs="Times New Roman"/>
          <w:spacing w:val="-5"/>
          <w:sz w:val="32"/>
          <w:szCs w:val="32"/>
        </w:rPr>
        <w:t xml:space="preserve">                 …… </w:t>
      </w:r>
      <w:r>
        <w:rPr>
          <w:rFonts w:ascii="仿宋" w:hAnsi="仿宋" w:eastAsia="仿宋" w:cs="仿宋"/>
          <w:spacing w:val="-5"/>
          <w:sz w:val="32"/>
          <w:szCs w:val="32"/>
        </w:rPr>
        <w:t xml:space="preserve">( </w:t>
      </w:r>
      <w:r>
        <w:rPr>
          <w:rFonts w:ascii="Times New Roman" w:hAnsi="Times New Roman" w:eastAsia="Times New Roman" w:cs="Times New Roman"/>
          <w:spacing w:val="-5"/>
          <w:sz w:val="32"/>
          <w:szCs w:val="32"/>
        </w:rPr>
        <w:t xml:space="preserve">5 </w:t>
      </w:r>
      <w:r>
        <w:rPr>
          <w:rFonts w:ascii="仿宋" w:hAnsi="仿宋" w:eastAsia="仿宋" w:cs="仿宋"/>
          <w:spacing w:val="-5"/>
          <w:sz w:val="32"/>
          <w:szCs w:val="32"/>
        </w:rPr>
        <w:t>)</w:t>
      </w:r>
    </w:p>
    <w:p>
      <w:pPr>
        <w:spacing w:line="369" w:lineRule="auto"/>
        <w:rPr>
          <w:rFonts w:ascii="Arial"/>
          <w:sz w:val="21"/>
        </w:rPr>
      </w:pPr>
    </w:p>
    <w:p>
      <w:pPr>
        <w:spacing w:before="97" w:line="217" w:lineRule="auto"/>
        <w:ind w:left="26"/>
        <w:rPr>
          <w:rFonts w:ascii="仿宋" w:hAnsi="仿宋" w:eastAsia="仿宋" w:cs="仿宋"/>
          <w:sz w:val="30"/>
          <w:szCs w:val="30"/>
        </w:rPr>
      </w:pPr>
      <w:r>
        <w:rPr>
          <w:rFonts w:ascii="仿宋" w:hAnsi="仿宋" w:eastAsia="仿宋" w:cs="仿宋"/>
          <w:spacing w:val="-20"/>
          <w:sz w:val="30"/>
          <w:szCs w:val="30"/>
        </w:rPr>
        <w:t>其</w:t>
      </w:r>
      <w:r>
        <w:rPr>
          <w:rFonts w:ascii="仿宋" w:hAnsi="仿宋" w:eastAsia="仿宋" w:cs="仿宋"/>
          <w:spacing w:val="-17"/>
          <w:sz w:val="30"/>
          <w:szCs w:val="30"/>
        </w:rPr>
        <w:t>中，</w:t>
      </w:r>
    </w:p>
    <w:p>
      <w:pPr>
        <w:sectPr>
          <w:footerReference r:id="rId9" w:type="default"/>
          <w:type w:val="continuous"/>
          <w:pgSz w:w="11905" w:h="16840"/>
          <w:pgMar w:top="1431" w:right="1648" w:bottom="1596" w:left="1785" w:header="850" w:footer="1434" w:gutter="0"/>
          <w:cols w:space="720" w:num="1"/>
        </w:sectPr>
      </w:pPr>
    </w:p>
    <w:p>
      <w:pPr>
        <w:spacing w:before="283" w:line="217" w:lineRule="auto"/>
        <w:jc w:val="right"/>
        <w:rPr>
          <w:rFonts w:ascii="仿宋" w:hAnsi="仿宋" w:eastAsia="仿宋" w:cs="仿宋"/>
          <w:sz w:val="32"/>
          <w:szCs w:val="32"/>
        </w:rPr>
      </w:pPr>
      <w:r>
        <w:rPr>
          <w:rFonts w:ascii="Times New Roman" w:hAnsi="Times New Roman" w:eastAsia="Times New Roman" w:cs="Times New Roman"/>
          <w:position w:val="-13"/>
          <w:sz w:val="32"/>
          <w:szCs w:val="32"/>
        </w:rPr>
        <w:drawing>
          <wp:inline distT="0" distB="0" distL="0" distR="0">
            <wp:extent cx="2142490" cy="212090"/>
            <wp:effectExtent l="0" t="0" r="3810" b="3810"/>
            <wp:docPr id="14" name="IM 37"/>
            <wp:cNvGraphicFramePr/>
            <a:graphic xmlns:a="http://schemas.openxmlformats.org/drawingml/2006/main">
              <a:graphicData uri="http://schemas.openxmlformats.org/drawingml/2006/picture">
                <pic:pic xmlns:pic="http://schemas.openxmlformats.org/drawingml/2006/picture">
                  <pic:nvPicPr>
                    <pic:cNvPr id="14" name="IM 37"/>
                    <pic:cNvPicPr/>
                  </pic:nvPicPr>
                  <pic:blipFill>
                    <a:blip r:embed="rId43"/>
                    <a:stretch>
                      <a:fillRect/>
                    </a:stretch>
                  </pic:blipFill>
                  <pic:spPr>
                    <a:xfrm>
                      <a:off x="0" y="0"/>
                      <a:ext cx="2142743" cy="212597"/>
                    </a:xfrm>
                    <a:prstGeom prst="rect">
                      <a:avLst/>
                    </a:prstGeom>
                  </pic:spPr>
                </pic:pic>
              </a:graphicData>
            </a:graphic>
          </wp:inline>
        </w:drawing>
      </w:r>
      <w:r>
        <w:rPr>
          <w:rFonts w:ascii="Times New Roman" w:hAnsi="Times New Roman" w:eastAsia="Times New Roman" w:cs="Times New Roman"/>
          <w:spacing w:val="2"/>
          <w:sz w:val="32"/>
          <w:szCs w:val="32"/>
        </w:rPr>
        <w:t xml:space="preserve">    </w:t>
      </w:r>
      <w:r>
        <w:rPr>
          <w:rFonts w:ascii="Times New Roman" w:hAnsi="Times New Roman" w:eastAsia="Times New Roman" w:cs="Times New Roman"/>
          <w:spacing w:val="1"/>
          <w:sz w:val="32"/>
          <w:szCs w:val="32"/>
        </w:rPr>
        <w:t xml:space="preserve">                             …… </w:t>
      </w:r>
      <w:r>
        <w:rPr>
          <w:rFonts w:ascii="仿宋" w:hAnsi="仿宋" w:eastAsia="仿宋" w:cs="仿宋"/>
          <w:spacing w:val="1"/>
          <w:sz w:val="32"/>
          <w:szCs w:val="32"/>
        </w:rPr>
        <w:t>(</w:t>
      </w:r>
      <w:r>
        <w:rPr>
          <w:rFonts w:ascii="Times New Roman" w:hAnsi="Times New Roman" w:eastAsia="Times New Roman" w:cs="Times New Roman"/>
          <w:spacing w:val="1"/>
          <w:sz w:val="32"/>
          <w:szCs w:val="32"/>
        </w:rPr>
        <w:t>6</w:t>
      </w:r>
      <w:r>
        <w:rPr>
          <w:rFonts w:ascii="仿宋" w:hAnsi="仿宋" w:eastAsia="仿宋" w:cs="仿宋"/>
          <w:spacing w:val="1"/>
          <w:sz w:val="32"/>
          <w:szCs w:val="32"/>
        </w:rPr>
        <w:t>)</w:t>
      </w:r>
    </w:p>
    <w:p>
      <w:pPr>
        <w:spacing w:line="457" w:lineRule="auto"/>
        <w:rPr>
          <w:rFonts w:ascii="Arial"/>
          <w:sz w:val="21"/>
        </w:rPr>
      </w:pPr>
    </w:p>
    <w:p>
      <w:pPr>
        <w:spacing w:before="104" w:line="214" w:lineRule="auto"/>
        <w:ind w:right="1"/>
        <w:jc w:val="right"/>
        <w:rPr>
          <w:rFonts w:ascii="仿宋" w:hAnsi="仿宋" w:eastAsia="仿宋" w:cs="仿宋"/>
          <w:sz w:val="32"/>
          <w:szCs w:val="32"/>
        </w:rPr>
      </w:pPr>
      <w:r>
        <mc:AlternateContent>
          <mc:Choice Requires="wps">
            <w:drawing>
              <wp:anchor distT="0" distB="0" distL="114300" distR="114300" simplePos="0" relativeHeight="251692032" behindDoc="0" locked="0" layoutInCell="1" allowOverlap="1">
                <wp:simplePos x="0" y="0"/>
                <wp:positionH relativeFrom="column">
                  <wp:posOffset>2398395</wp:posOffset>
                </wp:positionH>
                <wp:positionV relativeFrom="paragraph">
                  <wp:posOffset>169545</wp:posOffset>
                </wp:positionV>
                <wp:extent cx="73660" cy="17907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73660" cy="179070"/>
                        </a:xfrm>
                        <a:prstGeom prst="rect">
                          <a:avLst/>
                        </a:prstGeom>
                        <a:noFill/>
                        <a:ln>
                          <a:noFill/>
                        </a:ln>
                      </wps:spPr>
                      <wps:txbx>
                        <w:txbxContent>
                          <w:p>
                            <w:pPr>
                              <w:tabs>
                                <w:tab w:val="left" w:pos="95"/>
                              </w:tabs>
                              <w:spacing w:before="20" w:line="241" w:lineRule="exact"/>
                              <w:ind w:left="20"/>
                              <w:rPr>
                                <w:rFonts w:ascii="Arial"/>
                                <w:sz w:val="21"/>
                              </w:rPr>
                            </w:pPr>
                            <w:r>
                              <w:rPr>
                                <w:rFonts w:ascii="Arial" w:hAnsi="Arial" w:eastAsia="Arial" w:cs="Arial"/>
                                <w:sz w:val="21"/>
                                <w:szCs w:val="21"/>
                                <w:u w:val="single" w:color="auto"/>
                              </w:rPr>
                              <w:tab/>
                            </w:r>
                          </w:p>
                        </w:txbxContent>
                      </wps:txbx>
                      <wps:bodyPr lIns="0" tIns="0" rIns="0" bIns="0" upright="1"/>
                    </wps:wsp>
                  </a:graphicData>
                </a:graphic>
              </wp:anchor>
            </w:drawing>
          </mc:Choice>
          <mc:Fallback>
            <w:pict>
              <v:shape id="_x0000_s1026" o:spid="_x0000_s1026" o:spt="202" type="#_x0000_t202" style="position:absolute;left:0pt;margin-left:188.85pt;margin-top:13.35pt;height:14.1pt;width:5.8pt;z-index:251692032;mso-width-relative:page;mso-height-relative:page;" filled="f" stroked="f" coordsize="21600,21600" o:gfxdata="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q5pFJdoAAAAJAQAADwAAAAAAAAABACAAAAAiAAAAZHJzL2Rvd25yZXYueG1sUEsB&#10;AhQAFAAAAAgAh07iQEW8TrG6AQAAcgMAAA4AAAAAAAAAAQAgAAAAKQEAAGRycy9lMm9Eb2MueG1s&#10;UEsFBgAAAAAGAAYAWQEAAFUFAAAAAA==&#10;">
                <v:fill on="f" focussize="0,0"/>
                <v:stroke on="f"/>
                <v:imagedata o:title=""/>
                <o:lock v:ext="edit" aspectratio="f"/>
                <v:textbox inset="0mm,0mm,0mm,0mm">
                  <w:txbxContent>
                    <w:p>
                      <w:pPr>
                        <w:tabs>
                          <w:tab w:val="left" w:pos="95"/>
                        </w:tabs>
                        <w:spacing w:before="20" w:line="241" w:lineRule="exact"/>
                        <w:ind w:left="20"/>
                        <w:rPr>
                          <w:rFonts w:ascii="Arial"/>
                          <w:sz w:val="21"/>
                        </w:rPr>
                      </w:pPr>
                      <w:r>
                        <w:rPr>
                          <w:rFonts w:ascii="Arial" w:hAnsi="Arial" w:eastAsia="Arial" w:cs="Arial"/>
                          <w:sz w:val="21"/>
                          <w:szCs w:val="21"/>
                          <w:u w:val="single" w:color="auto"/>
                        </w:rPr>
                        <w:tab/>
                      </w:r>
                    </w:p>
                  </w:txbxContent>
                </v:textbox>
              </v:shape>
            </w:pict>
          </mc:Fallback>
        </mc:AlternateContent>
      </w:r>
      <w:r>
        <w:rPr>
          <w:rFonts w:ascii="Times New Roman" w:hAnsi="Times New Roman" w:eastAsia="Times New Roman" w:cs="Times New Roman"/>
          <w:position w:val="-13"/>
          <w:sz w:val="32"/>
          <w:szCs w:val="32"/>
        </w:rPr>
        <w:drawing>
          <wp:inline distT="0" distB="0" distL="0" distR="0">
            <wp:extent cx="2265045" cy="205105"/>
            <wp:effectExtent l="0" t="0" r="8255" b="10795"/>
            <wp:docPr id="15" name="IM 38"/>
            <wp:cNvGraphicFramePr/>
            <a:graphic xmlns:a="http://schemas.openxmlformats.org/drawingml/2006/main">
              <a:graphicData uri="http://schemas.openxmlformats.org/drawingml/2006/picture">
                <pic:pic xmlns:pic="http://schemas.openxmlformats.org/drawingml/2006/picture">
                  <pic:nvPicPr>
                    <pic:cNvPr id="15" name="IM 38"/>
                    <pic:cNvPicPr/>
                  </pic:nvPicPr>
                  <pic:blipFill>
                    <a:blip r:embed="rId44"/>
                    <a:stretch>
                      <a:fillRect/>
                    </a:stretch>
                  </pic:blipFill>
                  <pic:spPr>
                    <a:xfrm>
                      <a:off x="0" y="0"/>
                      <a:ext cx="2265425" cy="205739"/>
                    </a:xfrm>
                    <a:prstGeom prst="rect">
                      <a:avLst/>
                    </a:prstGeom>
                  </pic:spPr>
                </pic:pic>
              </a:graphicData>
            </a:graphic>
          </wp:inline>
        </w:drawing>
      </w:r>
      <w:r>
        <w:rPr>
          <w:rFonts w:ascii="Times New Roman" w:hAnsi="Times New Roman" w:eastAsia="Times New Roman" w:cs="Times New Roman"/>
          <w:spacing w:val="4"/>
          <w:sz w:val="32"/>
          <w:szCs w:val="32"/>
        </w:rPr>
        <w:t xml:space="preserve">        </w:t>
      </w:r>
      <w:r>
        <w:rPr>
          <w:rFonts w:ascii="Times New Roman" w:hAnsi="Times New Roman" w:eastAsia="Times New Roman" w:cs="Times New Roman"/>
          <w:spacing w:val="3"/>
          <w:sz w:val="32"/>
          <w:szCs w:val="32"/>
        </w:rPr>
        <w:t xml:space="preserve"> </w:t>
      </w:r>
      <w:r>
        <w:rPr>
          <w:rFonts w:ascii="Times New Roman" w:hAnsi="Times New Roman" w:eastAsia="Times New Roman" w:cs="Times New Roman"/>
          <w:spacing w:val="2"/>
          <w:sz w:val="32"/>
          <w:szCs w:val="32"/>
        </w:rPr>
        <w:t xml:space="preserve">                     …… </w:t>
      </w:r>
      <w:r>
        <w:rPr>
          <w:rFonts w:ascii="仿宋" w:hAnsi="仿宋" w:eastAsia="仿宋" w:cs="仿宋"/>
          <w:spacing w:val="2"/>
          <w:sz w:val="32"/>
          <w:szCs w:val="32"/>
        </w:rPr>
        <w:t>(</w:t>
      </w:r>
      <w:r>
        <w:rPr>
          <w:rFonts w:ascii="Times New Roman" w:hAnsi="Times New Roman" w:eastAsia="Times New Roman" w:cs="Times New Roman"/>
          <w:spacing w:val="2"/>
          <w:sz w:val="32"/>
          <w:szCs w:val="32"/>
        </w:rPr>
        <w:t>7</w:t>
      </w:r>
      <w:r>
        <w:rPr>
          <w:rFonts w:ascii="仿宋" w:hAnsi="仿宋" w:eastAsia="仿宋" w:cs="仿宋"/>
          <w:spacing w:val="2"/>
          <w:sz w:val="32"/>
          <w:szCs w:val="32"/>
        </w:rPr>
        <w:t>)</w:t>
      </w:r>
    </w:p>
    <w:p>
      <w:pPr>
        <w:spacing w:line="375" w:lineRule="auto"/>
        <w:rPr>
          <w:rFonts w:ascii="Arial"/>
          <w:sz w:val="21"/>
        </w:rPr>
      </w:pPr>
    </w:p>
    <w:p>
      <w:pPr>
        <w:spacing w:before="97" w:line="217" w:lineRule="auto"/>
        <w:ind w:left="33"/>
        <w:rPr>
          <w:rFonts w:ascii="仿宋" w:hAnsi="仿宋" w:eastAsia="仿宋" w:cs="仿宋"/>
          <w:sz w:val="30"/>
          <w:szCs w:val="30"/>
        </w:rPr>
      </w:pPr>
      <w:r>
        <w:rPr>
          <w:rFonts w:ascii="仿宋" w:hAnsi="仿宋" w:eastAsia="仿宋" w:cs="仿宋"/>
          <w:spacing w:val="-18"/>
          <w:sz w:val="30"/>
          <w:szCs w:val="30"/>
        </w:rPr>
        <w:t>上</w:t>
      </w:r>
      <w:r>
        <w:rPr>
          <w:rFonts w:ascii="仿宋" w:hAnsi="仿宋" w:eastAsia="仿宋" w:cs="仿宋"/>
          <w:spacing w:val="-16"/>
          <w:sz w:val="30"/>
          <w:szCs w:val="30"/>
        </w:rPr>
        <w:t>式中，</w:t>
      </w:r>
    </w:p>
    <w:p>
      <w:pPr>
        <w:spacing w:line="322" w:lineRule="auto"/>
        <w:rPr>
          <w:rFonts w:ascii="Arial"/>
          <w:sz w:val="21"/>
        </w:rPr>
      </w:pPr>
    </w:p>
    <w:p>
      <w:pPr>
        <w:spacing w:before="97" w:line="216" w:lineRule="auto"/>
        <w:ind w:left="614"/>
        <w:rPr>
          <w:rFonts w:ascii="仿宋" w:hAnsi="仿宋" w:eastAsia="仿宋" w:cs="仿宋"/>
          <w:sz w:val="30"/>
          <w:szCs w:val="30"/>
        </w:rPr>
      </w:pPr>
      <w:r>
        <w:rPr>
          <w:rFonts w:ascii="仿宋" w:hAnsi="仿宋" w:eastAsia="仿宋" w:cs="仿宋"/>
          <w:position w:val="-15"/>
          <w:sz w:val="30"/>
          <w:szCs w:val="30"/>
        </w:rPr>
        <w:drawing>
          <wp:inline distT="0" distB="0" distL="0" distR="0">
            <wp:extent cx="685800" cy="246380"/>
            <wp:effectExtent l="0" t="0" r="0" b="7620"/>
            <wp:docPr id="17" name="IM 39"/>
            <wp:cNvGraphicFramePr/>
            <a:graphic xmlns:a="http://schemas.openxmlformats.org/drawingml/2006/main">
              <a:graphicData uri="http://schemas.openxmlformats.org/drawingml/2006/picture">
                <pic:pic xmlns:pic="http://schemas.openxmlformats.org/drawingml/2006/picture">
                  <pic:nvPicPr>
                    <pic:cNvPr id="17" name="IM 39"/>
                    <pic:cNvPicPr/>
                  </pic:nvPicPr>
                  <pic:blipFill>
                    <a:blip r:embed="rId45"/>
                    <a:stretch>
                      <a:fillRect/>
                    </a:stretch>
                  </pic:blipFill>
                  <pic:spPr>
                    <a:xfrm>
                      <a:off x="0" y="0"/>
                      <a:ext cx="685800" cy="246888"/>
                    </a:xfrm>
                    <a:prstGeom prst="rect">
                      <a:avLst/>
                    </a:prstGeom>
                  </pic:spPr>
                </pic:pic>
              </a:graphicData>
            </a:graphic>
          </wp:inline>
        </w:drawing>
      </w:r>
      <w:r>
        <w:rPr>
          <w:rFonts w:ascii="仿宋" w:hAnsi="仿宋" w:eastAsia="仿宋" w:cs="仿宋"/>
          <w:spacing w:val="27"/>
          <w:sz w:val="30"/>
          <w:szCs w:val="30"/>
        </w:rPr>
        <w:t>为</w:t>
      </w:r>
      <w:r>
        <w:rPr>
          <w:rFonts w:ascii="仿宋" w:hAnsi="仿宋" w:eastAsia="仿宋" w:cs="仿宋"/>
          <w:spacing w:val="15"/>
          <w:sz w:val="30"/>
          <w:szCs w:val="30"/>
        </w:rPr>
        <w:t>化石燃料和其它碳氢化合物用作原材料产生的</w:t>
      </w:r>
    </w:p>
    <w:p>
      <w:pPr>
        <w:spacing w:line="341" w:lineRule="auto"/>
        <w:rPr>
          <w:rFonts w:ascii="Arial"/>
          <w:sz w:val="21"/>
        </w:rPr>
      </w:pPr>
    </w:p>
    <w:p>
      <w:pPr>
        <w:spacing w:before="98" w:line="217" w:lineRule="auto"/>
        <w:ind w:left="25"/>
        <w:rPr>
          <w:rFonts w:ascii="仿宋" w:hAnsi="仿宋" w:eastAsia="仿宋" w:cs="仿宋"/>
          <w:sz w:val="30"/>
          <w:szCs w:val="30"/>
        </w:rPr>
      </w:pPr>
      <w:r>
        <w:rPr>
          <w:rFonts w:ascii="Times New Roman" w:hAnsi="Times New Roman" w:eastAsia="Times New Roman" w:cs="Times New Roman"/>
          <w:spacing w:val="-9"/>
          <w:sz w:val="30"/>
          <w:szCs w:val="30"/>
        </w:rPr>
        <w:t>CO</w:t>
      </w:r>
      <w:r>
        <w:rPr>
          <w:rFonts w:ascii="Times New Roman" w:hAnsi="Times New Roman" w:eastAsia="Times New Roman" w:cs="Times New Roman"/>
          <w:spacing w:val="-9"/>
          <w:position w:val="-3"/>
          <w:sz w:val="18"/>
          <w:szCs w:val="18"/>
        </w:rPr>
        <w:t>2</w:t>
      </w:r>
      <w:r>
        <w:rPr>
          <w:rFonts w:ascii="仿宋" w:hAnsi="仿宋" w:eastAsia="仿宋" w:cs="仿宋"/>
          <w:spacing w:val="-9"/>
          <w:sz w:val="30"/>
          <w:szCs w:val="30"/>
        </w:rPr>
        <w:t>排放；</w:t>
      </w:r>
    </w:p>
    <w:p>
      <w:pPr>
        <w:spacing w:line="324" w:lineRule="auto"/>
        <w:rPr>
          <w:rFonts w:ascii="Arial"/>
          <w:sz w:val="21"/>
        </w:rPr>
      </w:pPr>
    </w:p>
    <w:p>
      <w:pPr>
        <w:spacing w:before="97" w:line="217" w:lineRule="auto"/>
        <w:ind w:left="1925"/>
        <w:rPr>
          <w:rFonts w:ascii="仿宋" w:hAnsi="仿宋" w:eastAsia="仿宋" w:cs="仿宋"/>
          <w:sz w:val="30"/>
          <w:szCs w:val="30"/>
        </w:rPr>
      </w:pPr>
      <w:r>
        <w:drawing>
          <wp:anchor distT="0" distB="0" distL="0" distR="0" simplePos="0" relativeHeight="251688960" behindDoc="0" locked="0" layoutInCell="0" allowOverlap="1">
            <wp:simplePos x="0" y="0"/>
            <wp:positionH relativeFrom="page">
              <wp:posOffset>1484630</wp:posOffset>
            </wp:positionH>
            <wp:positionV relativeFrom="page">
              <wp:posOffset>3606165</wp:posOffset>
            </wp:positionV>
            <wp:extent cx="819150" cy="240030"/>
            <wp:effectExtent l="0" t="0" r="6350" b="1270"/>
            <wp:wrapNone/>
            <wp:docPr id="11" name="IM 34"/>
            <wp:cNvGraphicFramePr/>
            <a:graphic xmlns:a="http://schemas.openxmlformats.org/drawingml/2006/main">
              <a:graphicData uri="http://schemas.openxmlformats.org/drawingml/2006/picture">
                <pic:pic xmlns:pic="http://schemas.openxmlformats.org/drawingml/2006/picture">
                  <pic:nvPicPr>
                    <pic:cNvPr id="11" name="IM 34"/>
                    <pic:cNvPicPr/>
                  </pic:nvPicPr>
                  <pic:blipFill>
                    <a:blip r:embed="rId46"/>
                    <a:stretch>
                      <a:fillRect/>
                    </a:stretch>
                  </pic:blipFill>
                  <pic:spPr>
                    <a:xfrm>
                      <a:off x="0" y="0"/>
                      <a:ext cx="819150" cy="240029"/>
                    </a:xfrm>
                    <a:prstGeom prst="rect">
                      <a:avLst/>
                    </a:prstGeom>
                  </pic:spPr>
                </pic:pic>
              </a:graphicData>
            </a:graphic>
          </wp:anchor>
        </w:drawing>
      </w:r>
      <w:r>
        <mc:AlternateContent>
          <mc:Choice Requires="wps">
            <w:drawing>
              <wp:anchor distT="0" distB="0" distL="114300" distR="114300" simplePos="0" relativeHeight="251691008" behindDoc="0" locked="0" layoutInCell="1" allowOverlap="1">
                <wp:simplePos x="0" y="0"/>
                <wp:positionH relativeFrom="column">
                  <wp:posOffset>683895</wp:posOffset>
                </wp:positionH>
                <wp:positionV relativeFrom="paragraph">
                  <wp:posOffset>169545</wp:posOffset>
                </wp:positionV>
                <wp:extent cx="87630" cy="17907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87630" cy="179070"/>
                        </a:xfrm>
                        <a:prstGeom prst="rect">
                          <a:avLst/>
                        </a:prstGeom>
                        <a:noFill/>
                        <a:ln>
                          <a:noFill/>
                        </a:ln>
                      </wps:spPr>
                      <wps:txbx>
                        <w:txbxContent>
                          <w:p>
                            <w:pPr>
                              <w:tabs>
                                <w:tab w:val="left" w:pos="116"/>
                              </w:tabs>
                              <w:spacing w:before="20" w:line="241" w:lineRule="exact"/>
                              <w:ind w:left="20"/>
                              <w:rPr>
                                <w:rFonts w:ascii="Arial"/>
                                <w:sz w:val="21"/>
                              </w:rPr>
                            </w:pPr>
                            <w:r>
                              <w:rPr>
                                <w:rFonts w:ascii="Arial" w:hAnsi="Arial" w:eastAsia="Arial" w:cs="Arial"/>
                                <w:sz w:val="21"/>
                                <w:szCs w:val="21"/>
                                <w:u w:val="single" w:color="auto"/>
                              </w:rPr>
                              <w:tab/>
                            </w:r>
                          </w:p>
                        </w:txbxContent>
                      </wps:txbx>
                      <wps:bodyPr lIns="0" tIns="0" rIns="0" bIns="0" upright="1"/>
                    </wps:wsp>
                  </a:graphicData>
                </a:graphic>
              </wp:anchor>
            </w:drawing>
          </mc:Choice>
          <mc:Fallback>
            <w:pict>
              <v:shape id="_x0000_s1026" o:spid="_x0000_s1026" o:spt="202" type="#_x0000_t202" style="position:absolute;left:0pt;margin-left:53.85pt;margin-top:13.35pt;height:14.1pt;width:6.9pt;z-index:251691008;mso-width-relative:page;mso-height-relative:page;" filled="f" stroked="f" coordsize="21600,21600" o:gfxdata="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MTF7y2AAAAAkBAAAPAAAAAAAAAAEAIAAAACIAAABkcnMvZG93bnJldi54bWxQSwEC&#10;FAAUAAAACACHTuJAilzizbsBAAByAwAADgAAAAAAAAABACAAAAAnAQAAZHJzL2Uyb0RvYy54bWxQ&#10;SwUGAAAAAAYABgBZAQAAVAUAAAAA&#10;">
                <v:fill on="f" focussize="0,0"/>
                <v:stroke on="f"/>
                <v:imagedata o:title=""/>
                <o:lock v:ext="edit" aspectratio="f"/>
                <v:textbox inset="0mm,0mm,0mm,0mm">
                  <w:txbxContent>
                    <w:p>
                      <w:pPr>
                        <w:tabs>
                          <w:tab w:val="left" w:pos="116"/>
                        </w:tabs>
                        <w:spacing w:before="20" w:line="241" w:lineRule="exact"/>
                        <w:ind w:left="20"/>
                        <w:rPr>
                          <w:rFonts w:ascii="Arial"/>
                          <w:sz w:val="21"/>
                        </w:rPr>
                      </w:pPr>
                      <w:r>
                        <w:rPr>
                          <w:rFonts w:ascii="Arial" w:hAnsi="Arial" w:eastAsia="Arial" w:cs="Arial"/>
                          <w:sz w:val="21"/>
                          <w:szCs w:val="21"/>
                          <w:u w:val="single" w:color="auto"/>
                        </w:rPr>
                        <w:tab/>
                      </w:r>
                    </w:p>
                  </w:txbxContent>
                </v:textbox>
              </v:shape>
            </w:pict>
          </mc:Fallback>
        </mc:AlternateContent>
      </w:r>
      <w:r>
        <w:rPr>
          <w:rFonts w:ascii="仿宋" w:hAnsi="仿宋" w:eastAsia="仿宋" w:cs="仿宋"/>
          <w:spacing w:val="-6"/>
          <w:sz w:val="30"/>
          <w:szCs w:val="30"/>
        </w:rPr>
        <w:t>为碳酸盐</w:t>
      </w:r>
      <w:r>
        <w:rPr>
          <w:rFonts w:ascii="仿宋" w:hAnsi="仿宋" w:eastAsia="仿宋" w:cs="仿宋"/>
          <w:spacing w:val="-3"/>
          <w:sz w:val="30"/>
          <w:szCs w:val="30"/>
        </w:rPr>
        <w:t>使用过程产生的</w:t>
      </w:r>
      <w:r>
        <w:rPr>
          <w:rFonts w:ascii="Times New Roman" w:hAnsi="Times New Roman" w:eastAsia="Times New Roman" w:cs="Times New Roman"/>
          <w:spacing w:val="-3"/>
          <w:sz w:val="30"/>
          <w:szCs w:val="30"/>
        </w:rPr>
        <w:t>CO</w:t>
      </w:r>
      <w:r>
        <w:rPr>
          <w:rFonts w:ascii="Times New Roman" w:hAnsi="Times New Roman" w:eastAsia="Times New Roman" w:cs="Times New Roman"/>
          <w:spacing w:val="-3"/>
          <w:position w:val="-3"/>
          <w:sz w:val="18"/>
          <w:szCs w:val="18"/>
        </w:rPr>
        <w:t>2</w:t>
      </w:r>
      <w:r>
        <w:rPr>
          <w:rFonts w:ascii="仿宋" w:hAnsi="仿宋" w:eastAsia="仿宋" w:cs="仿宋"/>
          <w:spacing w:val="-3"/>
          <w:sz w:val="30"/>
          <w:szCs w:val="30"/>
        </w:rPr>
        <w:t>排放；</w:t>
      </w:r>
    </w:p>
    <w:p>
      <w:pPr>
        <w:spacing w:line="262" w:lineRule="auto"/>
        <w:rPr>
          <w:rFonts w:ascii="Arial"/>
          <w:sz w:val="21"/>
        </w:rPr>
      </w:pPr>
    </w:p>
    <w:p>
      <w:pPr>
        <w:spacing w:line="262" w:lineRule="auto"/>
        <w:rPr>
          <w:rFonts w:ascii="Arial"/>
          <w:sz w:val="21"/>
        </w:rPr>
      </w:pPr>
    </w:p>
    <w:p>
      <w:pPr>
        <w:spacing w:before="99" w:line="214" w:lineRule="auto"/>
        <w:ind w:left="1760"/>
        <w:rPr>
          <w:rFonts w:ascii="仿宋" w:hAnsi="仿宋" w:eastAsia="仿宋" w:cs="仿宋"/>
          <w:sz w:val="30"/>
          <w:szCs w:val="30"/>
        </w:rPr>
      </w:pPr>
      <w:r>
        <w:drawing>
          <wp:anchor distT="0" distB="0" distL="0" distR="0" simplePos="0" relativeHeight="251689984" behindDoc="0" locked="0" layoutInCell="0" allowOverlap="1">
            <wp:simplePos x="0" y="0"/>
            <wp:positionH relativeFrom="page">
              <wp:posOffset>1508125</wp:posOffset>
            </wp:positionH>
            <wp:positionV relativeFrom="page">
              <wp:posOffset>4247515</wp:posOffset>
            </wp:positionV>
            <wp:extent cx="715010" cy="254000"/>
            <wp:effectExtent l="0" t="0" r="8890" b="0"/>
            <wp:wrapNone/>
            <wp:docPr id="12" name="IM 35"/>
            <wp:cNvGraphicFramePr/>
            <a:graphic xmlns:a="http://schemas.openxmlformats.org/drawingml/2006/main">
              <a:graphicData uri="http://schemas.openxmlformats.org/drawingml/2006/picture">
                <pic:pic xmlns:pic="http://schemas.openxmlformats.org/drawingml/2006/picture">
                  <pic:nvPicPr>
                    <pic:cNvPr id="12" name="IM 35"/>
                    <pic:cNvPicPr/>
                  </pic:nvPicPr>
                  <pic:blipFill>
                    <a:blip r:embed="rId47"/>
                    <a:stretch>
                      <a:fillRect/>
                    </a:stretch>
                  </pic:blipFill>
                  <pic:spPr>
                    <a:xfrm>
                      <a:off x="0" y="0"/>
                      <a:ext cx="714755" cy="253745"/>
                    </a:xfrm>
                    <a:prstGeom prst="rect">
                      <a:avLst/>
                    </a:prstGeom>
                  </pic:spPr>
                </pic:pic>
              </a:graphicData>
            </a:graphic>
          </wp:anchor>
        </w:drawing>
      </w:r>
      <w:r>
        <w:rPr>
          <w:rFonts w:ascii="仿宋" w:hAnsi="仿宋" w:eastAsia="仿宋" w:cs="仿宋"/>
          <w:spacing w:val="-5"/>
          <w:sz w:val="30"/>
          <w:szCs w:val="30"/>
        </w:rPr>
        <w:t>为硝酸生产过程的</w:t>
      </w:r>
      <w:r>
        <w:rPr>
          <w:rFonts w:ascii="Times New Roman" w:hAnsi="Times New Roman" w:eastAsia="Times New Roman" w:cs="Times New Roman"/>
          <w:spacing w:val="-5"/>
          <w:sz w:val="30"/>
          <w:szCs w:val="30"/>
        </w:rPr>
        <w:t>N</w:t>
      </w:r>
      <w:r>
        <w:rPr>
          <w:rFonts w:ascii="Times New Roman" w:hAnsi="Times New Roman" w:eastAsia="Times New Roman" w:cs="Times New Roman"/>
          <w:spacing w:val="-5"/>
          <w:position w:val="-3"/>
          <w:sz w:val="18"/>
          <w:szCs w:val="18"/>
        </w:rPr>
        <w:t>2</w:t>
      </w:r>
      <w:r>
        <w:rPr>
          <w:rFonts w:ascii="Times New Roman" w:hAnsi="Times New Roman" w:eastAsia="Times New Roman" w:cs="Times New Roman"/>
          <w:spacing w:val="-4"/>
          <w:sz w:val="30"/>
          <w:szCs w:val="30"/>
        </w:rPr>
        <w:t>O</w:t>
      </w:r>
      <w:r>
        <w:rPr>
          <w:rFonts w:ascii="仿宋" w:hAnsi="仿宋" w:eastAsia="仿宋" w:cs="仿宋"/>
          <w:spacing w:val="-5"/>
          <w:sz w:val="30"/>
          <w:szCs w:val="30"/>
        </w:rPr>
        <w:t>排放；</w:t>
      </w:r>
    </w:p>
    <w:p>
      <w:pPr>
        <w:spacing w:line="264" w:lineRule="auto"/>
        <w:rPr>
          <w:rFonts w:ascii="Arial"/>
          <w:sz w:val="21"/>
        </w:rPr>
      </w:pPr>
    </w:p>
    <w:p>
      <w:pPr>
        <w:spacing w:line="264" w:lineRule="auto"/>
        <w:rPr>
          <w:rFonts w:ascii="Arial"/>
          <w:sz w:val="21"/>
        </w:rPr>
      </w:pPr>
    </w:p>
    <w:p>
      <w:pPr>
        <w:spacing w:before="97" w:line="215" w:lineRule="auto"/>
        <w:ind w:left="979"/>
        <w:rPr>
          <w:rFonts w:ascii="仿宋" w:hAnsi="仿宋" w:eastAsia="仿宋" w:cs="仿宋"/>
          <w:sz w:val="30"/>
          <w:szCs w:val="30"/>
        </w:rPr>
      </w:pPr>
      <w:r>
        <w:drawing>
          <wp:anchor distT="0" distB="0" distL="0" distR="0" simplePos="0" relativeHeight="251687936" behindDoc="1" locked="0" layoutInCell="0" allowOverlap="1">
            <wp:simplePos x="0" y="0"/>
            <wp:positionH relativeFrom="page">
              <wp:posOffset>1452880</wp:posOffset>
            </wp:positionH>
            <wp:positionV relativeFrom="page">
              <wp:posOffset>4871720</wp:posOffset>
            </wp:positionV>
            <wp:extent cx="847090" cy="247015"/>
            <wp:effectExtent l="0" t="0" r="3810" b="6985"/>
            <wp:wrapNone/>
            <wp:docPr id="13" name="IM 36"/>
            <wp:cNvGraphicFramePr/>
            <a:graphic xmlns:a="http://schemas.openxmlformats.org/drawingml/2006/main">
              <a:graphicData uri="http://schemas.openxmlformats.org/drawingml/2006/picture">
                <pic:pic xmlns:pic="http://schemas.openxmlformats.org/drawingml/2006/picture">
                  <pic:nvPicPr>
                    <pic:cNvPr id="13" name="IM 36"/>
                    <pic:cNvPicPr/>
                  </pic:nvPicPr>
                  <pic:blipFill>
                    <a:blip r:embed="rId48"/>
                    <a:stretch>
                      <a:fillRect/>
                    </a:stretch>
                  </pic:blipFill>
                  <pic:spPr>
                    <a:xfrm>
                      <a:off x="0" y="0"/>
                      <a:ext cx="847344" cy="246888"/>
                    </a:xfrm>
                    <a:prstGeom prst="rect">
                      <a:avLst/>
                    </a:prstGeom>
                  </pic:spPr>
                </pic:pic>
              </a:graphicData>
            </a:graphic>
          </wp:anchor>
        </w:drawing>
      </w:r>
      <w:r>
        <w:rPr>
          <w:rFonts w:ascii="仿宋" w:hAnsi="仿宋" w:eastAsia="仿宋" w:cs="仿宋"/>
          <w:position w:val="-14"/>
          <w:sz w:val="30"/>
          <w:szCs w:val="30"/>
        </w:rPr>
        <w:drawing>
          <wp:inline distT="0" distB="0" distL="0" distR="0">
            <wp:extent cx="54610" cy="635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49"/>
                    <a:stretch>
                      <a:fillRect/>
                    </a:stretch>
                  </pic:blipFill>
                  <pic:spPr>
                    <a:xfrm>
                      <a:off x="0" y="0"/>
                      <a:ext cx="54864" cy="6857"/>
                    </a:xfrm>
                    <a:prstGeom prst="rect">
                      <a:avLst/>
                    </a:prstGeom>
                  </pic:spPr>
                </pic:pic>
              </a:graphicData>
            </a:graphic>
          </wp:inline>
        </w:drawing>
      </w:r>
      <w:r>
        <w:rPr>
          <w:rFonts w:ascii="仿宋" w:hAnsi="仿宋" w:eastAsia="仿宋" w:cs="仿宋"/>
          <w:spacing w:val="-5"/>
          <w:sz w:val="30"/>
          <w:szCs w:val="30"/>
        </w:rPr>
        <w:t xml:space="preserve"> </w:t>
      </w:r>
      <w:r>
        <w:rPr>
          <w:rFonts w:ascii="仿宋" w:hAnsi="仿宋" w:eastAsia="仿宋" w:cs="仿宋"/>
          <w:spacing w:val="-3"/>
          <w:sz w:val="30"/>
          <w:szCs w:val="30"/>
        </w:rPr>
        <w:t xml:space="preserve">     为己二酸生产过程的</w:t>
      </w:r>
      <w:r>
        <w:rPr>
          <w:rFonts w:ascii="Times New Roman" w:hAnsi="Times New Roman" w:eastAsia="Times New Roman" w:cs="Times New Roman"/>
          <w:spacing w:val="-3"/>
          <w:sz w:val="30"/>
          <w:szCs w:val="30"/>
        </w:rPr>
        <w:t>N</w:t>
      </w:r>
      <w:r>
        <w:rPr>
          <w:rFonts w:ascii="Times New Roman" w:hAnsi="Times New Roman" w:eastAsia="Times New Roman" w:cs="Times New Roman"/>
          <w:spacing w:val="-3"/>
          <w:position w:val="-3"/>
          <w:sz w:val="18"/>
          <w:szCs w:val="18"/>
        </w:rPr>
        <w:t>2</w:t>
      </w:r>
      <w:r>
        <w:rPr>
          <w:rFonts w:ascii="Times New Roman" w:hAnsi="Times New Roman" w:eastAsia="Times New Roman" w:cs="Times New Roman"/>
          <w:spacing w:val="-3"/>
          <w:sz w:val="30"/>
          <w:szCs w:val="30"/>
        </w:rPr>
        <w:t>O</w:t>
      </w:r>
      <w:r>
        <w:rPr>
          <w:rFonts w:ascii="仿宋" w:hAnsi="仿宋" w:eastAsia="仿宋" w:cs="仿宋"/>
          <w:spacing w:val="-3"/>
          <w:sz w:val="30"/>
          <w:szCs w:val="30"/>
        </w:rPr>
        <w:t>排放；</w:t>
      </w:r>
    </w:p>
    <w:p>
      <w:pPr>
        <w:spacing w:line="252" w:lineRule="auto"/>
        <w:rPr>
          <w:rFonts w:ascii="Arial"/>
          <w:sz w:val="21"/>
        </w:rPr>
      </w:pPr>
    </w:p>
    <w:p>
      <w:pPr>
        <w:spacing w:line="253" w:lineRule="auto"/>
        <w:rPr>
          <w:rFonts w:ascii="Arial"/>
          <w:sz w:val="21"/>
        </w:rPr>
      </w:pPr>
    </w:p>
    <w:p>
      <w:pPr>
        <w:spacing w:before="98" w:line="212" w:lineRule="auto"/>
        <w:ind w:left="614"/>
        <w:rPr>
          <w:rFonts w:ascii="仿宋" w:hAnsi="仿宋" w:eastAsia="仿宋" w:cs="仿宋"/>
          <w:spacing w:val="22"/>
          <w:sz w:val="30"/>
          <w:szCs w:val="30"/>
        </w:rPr>
      </w:pPr>
      <w:r>
        <w:rPr>
          <w:rFonts w:ascii="仿宋" w:hAnsi="仿宋" w:eastAsia="仿宋" w:cs="仿宋"/>
          <w:position w:val="-13"/>
          <w:sz w:val="30"/>
          <w:szCs w:val="30"/>
        </w:rPr>
        <w:drawing>
          <wp:inline distT="0" distB="0" distL="0" distR="0">
            <wp:extent cx="647700" cy="241300"/>
            <wp:effectExtent l="0" t="0" r="0" b="0"/>
            <wp:docPr id="18" name="IM 41"/>
            <wp:cNvGraphicFramePr/>
            <a:graphic xmlns:a="http://schemas.openxmlformats.org/drawingml/2006/main">
              <a:graphicData uri="http://schemas.openxmlformats.org/drawingml/2006/picture">
                <pic:pic xmlns:pic="http://schemas.openxmlformats.org/drawingml/2006/picture">
                  <pic:nvPicPr>
                    <pic:cNvPr id="18" name="IM 41"/>
                    <pic:cNvPicPr/>
                  </pic:nvPicPr>
                  <pic:blipFill>
                    <a:blip r:embed="rId50"/>
                    <a:stretch>
                      <a:fillRect/>
                    </a:stretch>
                  </pic:blipFill>
                  <pic:spPr>
                    <a:xfrm>
                      <a:off x="0" y="0"/>
                      <a:ext cx="647700" cy="241300"/>
                    </a:xfrm>
                    <a:prstGeom prst="rect">
                      <a:avLst/>
                    </a:prstGeom>
                  </pic:spPr>
                </pic:pic>
              </a:graphicData>
            </a:graphic>
          </wp:inline>
        </w:drawing>
      </w:r>
      <w:r>
        <w:rPr>
          <w:rFonts w:hint="eastAsia" w:ascii="仿宋" w:hAnsi="仿宋" w:eastAsia="仿宋" w:cs="仿宋"/>
          <w:position w:val="-13"/>
          <w:sz w:val="30"/>
          <w:szCs w:val="30"/>
          <w:lang w:val="en-US" w:eastAsia="zh-CN"/>
        </w:rPr>
        <w:t xml:space="preserve"> </w:t>
      </w:r>
      <w:r>
        <w:rPr>
          <w:rFonts w:ascii="仿宋" w:hAnsi="仿宋" w:eastAsia="仿宋" w:cs="仿宋"/>
          <w:spacing w:val="31"/>
          <w:sz w:val="30"/>
          <w:szCs w:val="30"/>
        </w:rPr>
        <w:t>为</w:t>
      </w:r>
      <w:r>
        <w:rPr>
          <w:rFonts w:ascii="Times New Roman" w:hAnsi="Times New Roman" w:eastAsia="Times New Roman" w:cs="Times New Roman"/>
          <w:sz w:val="30"/>
          <w:szCs w:val="30"/>
        </w:rPr>
        <w:t>N</w:t>
      </w:r>
      <w:r>
        <w:rPr>
          <w:rFonts w:ascii="Times New Roman" w:hAnsi="Times New Roman" w:eastAsia="Times New Roman" w:cs="Times New Roman"/>
          <w:spacing w:val="22"/>
          <w:position w:val="-3"/>
          <w:sz w:val="18"/>
          <w:szCs w:val="18"/>
        </w:rPr>
        <w:t>2</w:t>
      </w:r>
      <w:r>
        <w:rPr>
          <w:rFonts w:ascii="Times New Roman" w:hAnsi="Times New Roman" w:eastAsia="Times New Roman" w:cs="Times New Roman"/>
          <w:sz w:val="30"/>
          <w:szCs w:val="30"/>
        </w:rPr>
        <w:t>O</w:t>
      </w:r>
      <w:r>
        <w:rPr>
          <w:rFonts w:ascii="仿宋" w:hAnsi="仿宋" w:eastAsia="仿宋" w:cs="仿宋"/>
          <w:spacing w:val="22"/>
          <w:sz w:val="30"/>
          <w:szCs w:val="30"/>
        </w:rPr>
        <w:t>相比</w:t>
      </w:r>
      <w:r>
        <w:rPr>
          <w:rFonts w:ascii="Times New Roman" w:hAnsi="Times New Roman" w:eastAsia="Times New Roman" w:cs="Times New Roman"/>
          <w:sz w:val="30"/>
          <w:szCs w:val="30"/>
        </w:rPr>
        <w:t>CO</w:t>
      </w:r>
      <w:r>
        <w:rPr>
          <w:rFonts w:ascii="Times New Roman" w:hAnsi="Times New Roman" w:eastAsia="Times New Roman" w:cs="Times New Roman"/>
          <w:spacing w:val="22"/>
          <w:position w:val="-3"/>
          <w:sz w:val="18"/>
          <w:szCs w:val="18"/>
        </w:rPr>
        <w:t xml:space="preserve">2 </w:t>
      </w:r>
      <w:r>
        <w:rPr>
          <w:rFonts w:ascii="仿宋" w:hAnsi="仿宋" w:eastAsia="仿宋" w:cs="仿宋"/>
          <w:spacing w:val="22"/>
          <w:sz w:val="30"/>
          <w:szCs w:val="30"/>
        </w:rPr>
        <w:t>的全球变暖潜势(</w:t>
      </w:r>
      <w:r>
        <w:rPr>
          <w:rFonts w:ascii="Times New Roman" w:hAnsi="Times New Roman" w:eastAsia="Times New Roman" w:cs="Times New Roman"/>
          <w:sz w:val="30"/>
          <w:szCs w:val="30"/>
        </w:rPr>
        <w:t>GWP</w:t>
      </w:r>
      <w:r>
        <w:rPr>
          <w:rFonts w:ascii="仿宋" w:hAnsi="仿宋" w:eastAsia="仿宋" w:cs="仿宋"/>
          <w:spacing w:val="22"/>
          <w:sz w:val="30"/>
          <w:szCs w:val="30"/>
        </w:rPr>
        <w:t>)值。</w:t>
      </w:r>
    </w:p>
    <w:p>
      <w:pPr>
        <w:pStyle w:val="8"/>
        <w:bidi w:val="0"/>
      </w:pPr>
    </w:p>
    <w:p>
      <w:pPr>
        <w:pStyle w:val="8"/>
        <w:bidi w:val="0"/>
      </w:pPr>
      <w:r>
        <w:t>根据IPCC第二次评估报告， 100 年时间尺度内 1 吨N2O相当于 310 吨 CO2 的增温能力，因此</w:t>
      </w:r>
      <w:r>
        <w:drawing>
          <wp:inline distT="0" distB="0" distL="0" distR="0">
            <wp:extent cx="647700" cy="226060"/>
            <wp:effectExtent l="0" t="0" r="0" b="2540"/>
            <wp:docPr id="19" name="IM 42"/>
            <wp:cNvGraphicFramePr/>
            <a:graphic xmlns:a="http://schemas.openxmlformats.org/drawingml/2006/main">
              <a:graphicData uri="http://schemas.openxmlformats.org/drawingml/2006/picture">
                <pic:pic xmlns:pic="http://schemas.openxmlformats.org/drawingml/2006/picture">
                  <pic:nvPicPr>
                    <pic:cNvPr id="19" name="IM 42"/>
                    <pic:cNvPicPr/>
                  </pic:nvPicPr>
                  <pic:blipFill>
                    <a:blip r:embed="rId51"/>
                    <a:stretch>
                      <a:fillRect/>
                    </a:stretch>
                  </pic:blipFill>
                  <pic:spPr>
                    <a:xfrm>
                      <a:off x="0" y="0"/>
                      <a:ext cx="647700" cy="226314"/>
                    </a:xfrm>
                    <a:prstGeom prst="rect">
                      <a:avLst/>
                    </a:prstGeom>
                  </pic:spPr>
                </pic:pic>
              </a:graphicData>
            </a:graphic>
          </wp:inline>
        </w:drawing>
      </w:r>
      <w:r>
        <w:t>等于 310。</w:t>
      </w:r>
    </w:p>
    <w:p>
      <w:pPr>
        <w:pStyle w:val="5"/>
        <w:bidi w:val="0"/>
      </w:pPr>
      <w:bookmarkStart w:id="41" w:name="_Toc26889"/>
      <w:r>
        <w:t>3.3.3净购入电力、热力产生的排放</w:t>
      </w:r>
      <w:bookmarkEnd w:id="41"/>
    </w:p>
    <w:p>
      <w:pPr>
        <w:pStyle w:val="8"/>
        <w:bidi w:val="0"/>
      </w:pPr>
      <w:r>
        <w:t>受核查方净购入电力、热力产生的排放，采用《核算指南》核算方法进行核算，具体如下所示。</w:t>
      </w:r>
    </w:p>
    <w:p>
      <w:pPr>
        <w:spacing w:line="378" w:lineRule="exact"/>
        <w:ind w:left="36"/>
        <w:rPr>
          <w:rFonts w:ascii="宋体" w:hAnsi="宋体" w:eastAsia="宋体" w:cs="宋体"/>
          <w:sz w:val="28"/>
          <w:szCs w:val="28"/>
        </w:rPr>
      </w:pPr>
      <w:r>
        <w:rPr>
          <w:rFonts w:ascii="Times New Roman" w:hAnsi="Times New Roman" w:eastAsia="Times New Roman" w:cs="Times New Roman"/>
          <w:spacing w:val="-1"/>
          <w:position w:val="2"/>
          <w:sz w:val="28"/>
          <w:szCs w:val="28"/>
        </w:rPr>
        <w:t>E</w:t>
      </w:r>
      <w:r>
        <w:rPr>
          <w:rFonts w:ascii="Times New Roman" w:hAnsi="Times New Roman" w:eastAsia="Times New Roman" w:cs="Times New Roman"/>
          <w:spacing w:val="-2"/>
          <w:position w:val="2"/>
          <w:sz w:val="28"/>
          <w:szCs w:val="28"/>
        </w:rPr>
        <w:t xml:space="preserve"> </w:t>
      </w:r>
      <w:r>
        <w:rPr>
          <w:rFonts w:ascii="宋体" w:hAnsi="宋体" w:eastAsia="宋体" w:cs="宋体"/>
          <w:spacing w:val="-2"/>
          <w:position w:val="-1"/>
          <w:sz w:val="13"/>
          <w:szCs w:val="13"/>
        </w:rPr>
        <w:t>电</w:t>
      </w:r>
      <w:r>
        <w:rPr>
          <w:rFonts w:ascii="Times New Roman" w:hAnsi="Times New Roman" w:eastAsia="Times New Roman" w:cs="Times New Roman"/>
          <w:spacing w:val="-2"/>
          <w:position w:val="2"/>
          <w:sz w:val="28"/>
          <w:szCs w:val="28"/>
        </w:rPr>
        <w:t>=</w:t>
      </w:r>
      <w:r>
        <w:rPr>
          <w:rFonts w:ascii="Times New Roman" w:hAnsi="Times New Roman" w:eastAsia="Times New Roman" w:cs="Times New Roman"/>
          <w:spacing w:val="-1"/>
          <w:position w:val="2"/>
          <w:sz w:val="28"/>
          <w:szCs w:val="28"/>
        </w:rPr>
        <w:t>AD</w:t>
      </w:r>
      <w:r>
        <w:rPr>
          <w:rFonts w:ascii="Times New Roman" w:hAnsi="Times New Roman" w:eastAsia="Times New Roman" w:cs="Times New Roman"/>
          <w:spacing w:val="-2"/>
          <w:position w:val="2"/>
          <w:sz w:val="28"/>
          <w:szCs w:val="28"/>
        </w:rPr>
        <w:t xml:space="preserve"> </w:t>
      </w:r>
      <w:r>
        <w:rPr>
          <w:rFonts w:ascii="宋体" w:hAnsi="宋体" w:eastAsia="宋体" w:cs="宋体"/>
          <w:spacing w:val="-2"/>
          <w:position w:val="-1"/>
          <w:sz w:val="13"/>
          <w:szCs w:val="13"/>
        </w:rPr>
        <w:t xml:space="preserve">电 </w:t>
      </w:r>
      <w:r>
        <w:rPr>
          <w:rFonts w:ascii="Times New Roman" w:hAnsi="Times New Roman" w:eastAsia="Times New Roman" w:cs="Times New Roman"/>
          <w:spacing w:val="-2"/>
          <w:position w:val="2"/>
          <w:sz w:val="28"/>
          <w:szCs w:val="28"/>
        </w:rPr>
        <w:t>×</w:t>
      </w:r>
      <w:r>
        <w:rPr>
          <w:rFonts w:ascii="Times New Roman" w:hAnsi="Times New Roman" w:eastAsia="Times New Roman" w:cs="Times New Roman"/>
          <w:spacing w:val="-1"/>
          <w:position w:val="2"/>
          <w:sz w:val="28"/>
          <w:szCs w:val="28"/>
        </w:rPr>
        <w:t>EF</w:t>
      </w:r>
      <w:r>
        <w:rPr>
          <w:rFonts w:ascii="Times New Roman" w:hAnsi="Times New Roman" w:eastAsia="Times New Roman" w:cs="Times New Roman"/>
          <w:spacing w:val="-2"/>
          <w:position w:val="2"/>
          <w:sz w:val="28"/>
          <w:szCs w:val="28"/>
        </w:rPr>
        <w:t xml:space="preserve"> </w:t>
      </w:r>
      <w:r>
        <w:rPr>
          <w:rFonts w:ascii="宋体" w:hAnsi="宋体" w:eastAsia="宋体" w:cs="宋体"/>
          <w:spacing w:val="-2"/>
          <w:position w:val="2"/>
          <w:sz w:val="13"/>
          <w:szCs w:val="13"/>
        </w:rPr>
        <w:t>电</w:t>
      </w:r>
      <w:r>
        <w:rPr>
          <w:rFonts w:ascii="宋体" w:hAnsi="宋体" w:eastAsia="宋体" w:cs="宋体"/>
          <w:spacing w:val="-1"/>
          <w:position w:val="2"/>
          <w:sz w:val="13"/>
          <w:szCs w:val="13"/>
        </w:rPr>
        <w:t xml:space="preserve">  </w:t>
      </w:r>
      <w:r>
        <w:rPr>
          <w:rFonts w:ascii="宋体" w:hAnsi="宋体" w:eastAsia="宋体" w:cs="宋体"/>
          <w:spacing w:val="-1"/>
          <w:position w:val="2"/>
          <w:sz w:val="28"/>
          <w:szCs w:val="28"/>
        </w:rPr>
        <w:t>(</w:t>
      </w:r>
      <w:r>
        <w:rPr>
          <w:rFonts w:ascii="Times New Roman" w:hAnsi="Times New Roman" w:eastAsia="Times New Roman" w:cs="Times New Roman"/>
          <w:spacing w:val="-1"/>
          <w:position w:val="2"/>
          <w:sz w:val="28"/>
          <w:szCs w:val="28"/>
        </w:rPr>
        <w:t>14</w:t>
      </w:r>
      <w:r>
        <w:rPr>
          <w:rFonts w:ascii="宋体" w:hAnsi="宋体" w:eastAsia="宋体" w:cs="宋体"/>
          <w:spacing w:val="-1"/>
          <w:position w:val="2"/>
          <w:sz w:val="28"/>
          <w:szCs w:val="28"/>
        </w:rPr>
        <w:t>)</w:t>
      </w:r>
    </w:p>
    <w:p>
      <w:pPr>
        <w:spacing w:before="194" w:line="378" w:lineRule="exact"/>
        <w:ind w:left="36"/>
        <w:rPr>
          <w:rFonts w:ascii="宋体" w:hAnsi="宋体" w:eastAsia="宋体" w:cs="宋体"/>
          <w:sz w:val="28"/>
          <w:szCs w:val="28"/>
        </w:rPr>
      </w:pPr>
      <w:r>
        <w:rPr>
          <w:rFonts w:ascii="Times New Roman" w:hAnsi="Times New Roman" w:eastAsia="Times New Roman" w:cs="Times New Roman"/>
          <w:spacing w:val="-1"/>
          <w:position w:val="2"/>
          <w:sz w:val="28"/>
          <w:szCs w:val="28"/>
        </w:rPr>
        <w:t>E</w:t>
      </w:r>
      <w:r>
        <w:rPr>
          <w:rFonts w:ascii="Times New Roman" w:hAnsi="Times New Roman" w:eastAsia="Times New Roman" w:cs="Times New Roman"/>
          <w:spacing w:val="-2"/>
          <w:position w:val="2"/>
          <w:sz w:val="28"/>
          <w:szCs w:val="28"/>
        </w:rPr>
        <w:t xml:space="preserve"> </w:t>
      </w:r>
      <w:r>
        <w:rPr>
          <w:rFonts w:ascii="宋体" w:hAnsi="宋体" w:eastAsia="宋体" w:cs="宋体"/>
          <w:spacing w:val="-2"/>
          <w:position w:val="-1"/>
          <w:sz w:val="13"/>
          <w:szCs w:val="13"/>
        </w:rPr>
        <w:t>热</w:t>
      </w:r>
      <w:r>
        <w:rPr>
          <w:rFonts w:ascii="Times New Roman" w:hAnsi="Times New Roman" w:eastAsia="Times New Roman" w:cs="Times New Roman"/>
          <w:spacing w:val="-2"/>
          <w:position w:val="2"/>
          <w:sz w:val="28"/>
          <w:szCs w:val="28"/>
        </w:rPr>
        <w:t>=</w:t>
      </w:r>
      <w:r>
        <w:rPr>
          <w:rFonts w:ascii="Times New Roman" w:hAnsi="Times New Roman" w:eastAsia="Times New Roman" w:cs="Times New Roman"/>
          <w:spacing w:val="-1"/>
          <w:position w:val="2"/>
          <w:sz w:val="28"/>
          <w:szCs w:val="28"/>
        </w:rPr>
        <w:t>AD</w:t>
      </w:r>
      <w:r>
        <w:rPr>
          <w:rFonts w:ascii="Times New Roman" w:hAnsi="Times New Roman" w:eastAsia="Times New Roman" w:cs="Times New Roman"/>
          <w:spacing w:val="-2"/>
          <w:position w:val="2"/>
          <w:sz w:val="28"/>
          <w:szCs w:val="28"/>
        </w:rPr>
        <w:t xml:space="preserve"> </w:t>
      </w:r>
      <w:r>
        <w:rPr>
          <w:rFonts w:ascii="宋体" w:hAnsi="宋体" w:eastAsia="宋体" w:cs="宋体"/>
          <w:spacing w:val="-2"/>
          <w:position w:val="-1"/>
          <w:sz w:val="13"/>
          <w:szCs w:val="13"/>
        </w:rPr>
        <w:t xml:space="preserve">热 </w:t>
      </w:r>
      <w:r>
        <w:rPr>
          <w:rFonts w:ascii="Times New Roman" w:hAnsi="Times New Roman" w:eastAsia="Times New Roman" w:cs="Times New Roman"/>
          <w:spacing w:val="-2"/>
          <w:position w:val="2"/>
          <w:sz w:val="28"/>
          <w:szCs w:val="28"/>
        </w:rPr>
        <w:t>×</w:t>
      </w:r>
      <w:r>
        <w:rPr>
          <w:rFonts w:ascii="Times New Roman" w:hAnsi="Times New Roman" w:eastAsia="Times New Roman" w:cs="Times New Roman"/>
          <w:spacing w:val="-1"/>
          <w:position w:val="2"/>
          <w:sz w:val="28"/>
          <w:szCs w:val="28"/>
        </w:rPr>
        <w:t>EF</w:t>
      </w:r>
      <w:r>
        <w:rPr>
          <w:rFonts w:ascii="Times New Roman" w:hAnsi="Times New Roman" w:eastAsia="Times New Roman" w:cs="Times New Roman"/>
          <w:spacing w:val="-2"/>
          <w:position w:val="2"/>
          <w:sz w:val="28"/>
          <w:szCs w:val="28"/>
        </w:rPr>
        <w:t xml:space="preserve"> </w:t>
      </w:r>
      <w:r>
        <w:rPr>
          <w:rFonts w:ascii="宋体" w:hAnsi="宋体" w:eastAsia="宋体" w:cs="宋体"/>
          <w:spacing w:val="-2"/>
          <w:position w:val="2"/>
          <w:sz w:val="13"/>
          <w:szCs w:val="13"/>
        </w:rPr>
        <w:t>热</w:t>
      </w:r>
      <w:r>
        <w:rPr>
          <w:rFonts w:ascii="宋体" w:hAnsi="宋体" w:eastAsia="宋体" w:cs="宋体"/>
          <w:spacing w:val="-1"/>
          <w:position w:val="2"/>
          <w:sz w:val="13"/>
          <w:szCs w:val="13"/>
        </w:rPr>
        <w:t xml:space="preserve">  </w:t>
      </w:r>
      <w:r>
        <w:rPr>
          <w:rFonts w:ascii="宋体" w:hAnsi="宋体" w:eastAsia="宋体" w:cs="宋体"/>
          <w:spacing w:val="-1"/>
          <w:position w:val="2"/>
          <w:sz w:val="28"/>
          <w:szCs w:val="28"/>
        </w:rPr>
        <w:t>(</w:t>
      </w:r>
      <w:r>
        <w:rPr>
          <w:rFonts w:ascii="Times New Roman" w:hAnsi="Times New Roman" w:eastAsia="Times New Roman" w:cs="Times New Roman"/>
          <w:spacing w:val="-1"/>
          <w:position w:val="2"/>
          <w:sz w:val="28"/>
          <w:szCs w:val="28"/>
        </w:rPr>
        <w:t>15</w:t>
      </w:r>
      <w:r>
        <w:rPr>
          <w:rFonts w:ascii="宋体" w:hAnsi="宋体" w:eastAsia="宋体" w:cs="宋体"/>
          <w:spacing w:val="-1"/>
          <w:position w:val="2"/>
          <w:sz w:val="28"/>
          <w:szCs w:val="28"/>
        </w:rPr>
        <w:t>)</w:t>
      </w:r>
    </w:p>
    <w:p>
      <w:pPr>
        <w:spacing w:before="241" w:line="221" w:lineRule="auto"/>
        <w:ind w:left="47"/>
        <w:rPr>
          <w:rFonts w:ascii="宋体" w:hAnsi="宋体" w:eastAsia="宋体" w:cs="宋体"/>
          <w:sz w:val="28"/>
          <w:szCs w:val="28"/>
        </w:rPr>
      </w:pPr>
      <w:r>
        <w:rPr>
          <w:rFonts w:ascii="宋体" w:hAnsi="宋体" w:eastAsia="宋体" w:cs="宋体"/>
          <w:spacing w:val="-5"/>
          <w:sz w:val="28"/>
          <w:szCs w:val="28"/>
        </w:rPr>
        <w:t>式中：</w:t>
      </w:r>
    </w:p>
    <w:p>
      <w:pPr>
        <w:spacing w:before="183" w:line="378" w:lineRule="exact"/>
        <w:ind w:left="36"/>
        <w:rPr>
          <w:rFonts w:ascii="宋体" w:hAnsi="宋体" w:eastAsia="宋体" w:cs="宋体"/>
          <w:sz w:val="28"/>
          <w:szCs w:val="28"/>
        </w:rPr>
      </w:pPr>
      <w:r>
        <w:rPr>
          <w:rFonts w:ascii="Times New Roman" w:hAnsi="Times New Roman" w:eastAsia="Times New Roman" w:cs="Times New Roman"/>
          <w:position w:val="2"/>
          <w:sz w:val="28"/>
          <w:szCs w:val="28"/>
        </w:rPr>
        <w:t>E</w:t>
      </w:r>
      <w:r>
        <w:rPr>
          <w:rFonts w:ascii="Times New Roman" w:hAnsi="Times New Roman" w:eastAsia="Times New Roman" w:cs="Times New Roman"/>
          <w:spacing w:val="-1"/>
          <w:position w:val="2"/>
          <w:sz w:val="28"/>
          <w:szCs w:val="28"/>
        </w:rPr>
        <w:t xml:space="preserve"> </w:t>
      </w:r>
      <w:r>
        <w:rPr>
          <w:rFonts w:ascii="宋体" w:hAnsi="宋体" w:eastAsia="宋体" w:cs="宋体"/>
          <w:spacing w:val="-1"/>
          <w:position w:val="-1"/>
          <w:sz w:val="13"/>
          <w:szCs w:val="13"/>
        </w:rPr>
        <w:t xml:space="preserve">电           </w:t>
      </w:r>
      <w:r>
        <w:rPr>
          <w:rFonts w:ascii="宋体" w:hAnsi="宋体" w:eastAsia="宋体" w:cs="宋体"/>
          <w:spacing w:val="-1"/>
          <w:position w:val="2"/>
          <w:sz w:val="28"/>
          <w:szCs w:val="28"/>
        </w:rPr>
        <w:t>购入电力产生的排放</w:t>
      </w:r>
      <w:r>
        <w:rPr>
          <w:rFonts w:ascii="宋体" w:hAnsi="宋体" w:eastAsia="宋体" w:cs="宋体"/>
          <w:position w:val="2"/>
          <w:sz w:val="28"/>
          <w:szCs w:val="28"/>
        </w:rPr>
        <w:t>，单位为吨二氧化碳 (</w:t>
      </w:r>
      <w:r>
        <w:rPr>
          <w:rFonts w:ascii="Times New Roman" w:hAnsi="Times New Roman" w:eastAsia="Times New Roman" w:cs="Times New Roman"/>
          <w:position w:val="2"/>
          <w:sz w:val="28"/>
          <w:szCs w:val="28"/>
        </w:rPr>
        <w:t>tCO</w:t>
      </w:r>
      <w:r>
        <w:rPr>
          <w:rFonts w:ascii="Times New Roman" w:hAnsi="Times New Roman" w:eastAsia="Times New Roman" w:cs="Times New Roman"/>
          <w:position w:val="1"/>
          <w:sz w:val="17"/>
          <w:szCs w:val="17"/>
        </w:rPr>
        <w:t xml:space="preserve">2 </w:t>
      </w:r>
      <w:r>
        <w:rPr>
          <w:rFonts w:ascii="宋体" w:hAnsi="宋体" w:eastAsia="宋体" w:cs="宋体"/>
          <w:position w:val="2"/>
          <w:sz w:val="28"/>
          <w:szCs w:val="28"/>
        </w:rPr>
        <w:t>) ；</w:t>
      </w:r>
    </w:p>
    <w:p>
      <w:pPr>
        <w:sectPr>
          <w:footerReference r:id="rId10" w:type="default"/>
          <w:type w:val="continuous"/>
          <w:pgSz w:w="11906" w:h="16840"/>
          <w:pgMar w:top="1171" w:right="1785" w:bottom="1025" w:left="1785" w:header="901" w:footer="852" w:gutter="0"/>
          <w:pgNumType w:fmt="decimal"/>
          <w:cols w:equalWidth="0" w:num="1">
            <w:col w:w="8335"/>
          </w:cols>
        </w:sectPr>
      </w:pPr>
    </w:p>
    <w:p/>
    <w:p>
      <w:pPr>
        <w:spacing w:line="116" w:lineRule="auto"/>
        <w:rPr>
          <w:rFonts w:ascii="Arial"/>
          <w:sz w:val="2"/>
        </w:rPr>
      </w:pPr>
    </w:p>
    <w:p>
      <w:pPr>
        <w:sectPr>
          <w:footerReference r:id="rId11" w:type="default"/>
          <w:pgSz w:w="11906" w:h="16840"/>
          <w:pgMar w:top="1171" w:right="1728" w:bottom="1025" w:left="1785" w:header="901" w:footer="852" w:gutter="0"/>
          <w:pgNumType w:fmt="decimal"/>
          <w:cols w:equalWidth="0" w:num="1">
            <w:col w:w="8392"/>
          </w:cols>
        </w:sectPr>
      </w:pPr>
    </w:p>
    <w:p>
      <w:pPr>
        <w:spacing w:line="271" w:lineRule="auto"/>
        <w:rPr>
          <w:rFonts w:ascii="Arial"/>
          <w:sz w:val="21"/>
        </w:rPr>
      </w:pPr>
    </w:p>
    <w:p>
      <w:pPr>
        <w:spacing w:before="80" w:line="200" w:lineRule="auto"/>
        <w:ind w:left="36"/>
        <w:rPr>
          <w:rFonts w:ascii="宋体" w:hAnsi="宋体" w:eastAsia="宋体" w:cs="宋体"/>
          <w:sz w:val="13"/>
          <w:szCs w:val="13"/>
        </w:rPr>
      </w:pPr>
      <w:r>
        <w:rPr>
          <w:rFonts w:ascii="Times New Roman" w:hAnsi="Times New Roman" w:eastAsia="Times New Roman" w:cs="Times New Roman"/>
          <w:position w:val="1"/>
          <w:sz w:val="28"/>
          <w:szCs w:val="28"/>
        </w:rPr>
        <w:t>E</w:t>
      </w:r>
      <w:r>
        <w:rPr>
          <w:rFonts w:ascii="Times New Roman" w:hAnsi="Times New Roman" w:eastAsia="Times New Roman" w:cs="Times New Roman"/>
          <w:spacing w:val="1"/>
          <w:position w:val="1"/>
          <w:sz w:val="28"/>
          <w:szCs w:val="28"/>
        </w:rPr>
        <w:t xml:space="preserve"> </w:t>
      </w:r>
      <w:r>
        <w:rPr>
          <w:rFonts w:ascii="宋体" w:hAnsi="宋体" w:eastAsia="宋体" w:cs="宋体"/>
          <w:spacing w:val="1"/>
          <w:position w:val="-2"/>
          <w:sz w:val="13"/>
          <w:szCs w:val="13"/>
        </w:rPr>
        <w:t>热</w:t>
      </w:r>
    </w:p>
    <w:p>
      <w:pPr>
        <w:spacing w:line="450" w:lineRule="auto"/>
        <w:rPr>
          <w:rFonts w:ascii="Arial"/>
          <w:sz w:val="21"/>
        </w:rPr>
      </w:pPr>
    </w:p>
    <w:p>
      <w:pPr>
        <w:spacing w:before="80" w:line="205" w:lineRule="auto"/>
        <w:ind w:left="33"/>
        <w:rPr>
          <w:rFonts w:ascii="宋体" w:hAnsi="宋体" w:eastAsia="宋体" w:cs="宋体"/>
          <w:sz w:val="13"/>
          <w:szCs w:val="13"/>
        </w:rPr>
      </w:pPr>
      <w:r>
        <w:rPr>
          <w:rFonts w:ascii="Times New Roman" w:hAnsi="Times New Roman" w:eastAsia="Times New Roman" w:cs="Times New Roman"/>
          <w:sz w:val="28"/>
          <w:szCs w:val="28"/>
        </w:rPr>
        <w:t>AD</w:t>
      </w:r>
      <w:r>
        <w:rPr>
          <w:rFonts w:ascii="Times New Roman" w:hAnsi="Times New Roman" w:eastAsia="Times New Roman" w:cs="Times New Roman"/>
          <w:spacing w:val="10"/>
          <w:sz w:val="28"/>
          <w:szCs w:val="28"/>
        </w:rPr>
        <w:t xml:space="preserve"> </w:t>
      </w:r>
      <w:r>
        <w:rPr>
          <w:rFonts w:ascii="宋体" w:hAnsi="宋体" w:eastAsia="宋体" w:cs="宋体"/>
          <w:spacing w:val="10"/>
          <w:position w:val="-3"/>
          <w:sz w:val="13"/>
          <w:szCs w:val="13"/>
        </w:rPr>
        <w:t>电</w:t>
      </w:r>
    </w:p>
    <w:p>
      <w:pPr>
        <w:spacing w:line="448" w:lineRule="auto"/>
        <w:rPr>
          <w:rFonts w:ascii="Arial"/>
          <w:sz w:val="21"/>
        </w:rPr>
      </w:pPr>
    </w:p>
    <w:p>
      <w:pPr>
        <w:spacing w:before="80" w:line="205" w:lineRule="auto"/>
        <w:ind w:left="33"/>
        <w:rPr>
          <w:rFonts w:ascii="宋体" w:hAnsi="宋体" w:eastAsia="宋体" w:cs="宋体"/>
          <w:sz w:val="13"/>
          <w:szCs w:val="13"/>
        </w:rPr>
      </w:pPr>
      <w:r>
        <w:rPr>
          <w:rFonts w:ascii="Times New Roman" w:hAnsi="Times New Roman" w:eastAsia="Times New Roman" w:cs="Times New Roman"/>
          <w:sz w:val="28"/>
          <w:szCs w:val="28"/>
        </w:rPr>
        <w:t>AD</w:t>
      </w:r>
      <w:r>
        <w:rPr>
          <w:rFonts w:ascii="Times New Roman" w:hAnsi="Times New Roman" w:eastAsia="Times New Roman" w:cs="Times New Roman"/>
          <w:spacing w:val="4"/>
          <w:sz w:val="28"/>
          <w:szCs w:val="28"/>
        </w:rPr>
        <w:t xml:space="preserve"> </w:t>
      </w:r>
      <w:r>
        <w:rPr>
          <w:rFonts w:ascii="宋体" w:hAnsi="宋体" w:eastAsia="宋体" w:cs="宋体"/>
          <w:spacing w:val="3"/>
          <w:position w:val="-3"/>
          <w:sz w:val="13"/>
          <w:szCs w:val="13"/>
        </w:rPr>
        <w:t>热</w:t>
      </w:r>
    </w:p>
    <w:p>
      <w:pPr>
        <w:spacing w:line="352" w:lineRule="auto"/>
        <w:rPr>
          <w:rFonts w:ascii="Arial"/>
          <w:sz w:val="21"/>
        </w:rPr>
      </w:pPr>
    </w:p>
    <w:p>
      <w:pPr>
        <w:spacing w:line="352" w:lineRule="auto"/>
        <w:rPr>
          <w:rFonts w:ascii="Arial"/>
          <w:sz w:val="21"/>
        </w:rPr>
      </w:pPr>
    </w:p>
    <w:p>
      <w:pPr>
        <w:spacing w:before="81" w:line="194" w:lineRule="auto"/>
        <w:ind w:left="36"/>
        <w:rPr>
          <w:rFonts w:ascii="宋体" w:hAnsi="宋体" w:eastAsia="宋体" w:cs="宋体"/>
          <w:sz w:val="13"/>
          <w:szCs w:val="13"/>
        </w:rPr>
      </w:pPr>
      <w:r>
        <w:rPr>
          <w:rFonts w:ascii="Times New Roman" w:hAnsi="Times New Roman" w:eastAsia="Times New Roman" w:cs="Times New Roman"/>
          <w:sz w:val="28"/>
          <w:szCs w:val="28"/>
        </w:rPr>
        <w:t>EF</w:t>
      </w:r>
      <w:r>
        <w:rPr>
          <w:rFonts w:ascii="Times New Roman" w:hAnsi="Times New Roman" w:eastAsia="Times New Roman" w:cs="Times New Roman"/>
          <w:spacing w:val="8"/>
          <w:sz w:val="28"/>
          <w:szCs w:val="28"/>
        </w:rPr>
        <w:t xml:space="preserve"> </w:t>
      </w:r>
      <w:r>
        <w:rPr>
          <w:rFonts w:ascii="宋体" w:hAnsi="宋体" w:eastAsia="宋体" w:cs="宋体"/>
          <w:spacing w:val="7"/>
          <w:sz w:val="13"/>
          <w:szCs w:val="13"/>
        </w:rPr>
        <w:t>电</w:t>
      </w:r>
    </w:p>
    <w:p>
      <w:pPr>
        <w:spacing w:line="356" w:lineRule="auto"/>
        <w:rPr>
          <w:rFonts w:ascii="Arial"/>
          <w:sz w:val="21"/>
        </w:rPr>
      </w:pPr>
    </w:p>
    <w:p>
      <w:pPr>
        <w:spacing w:line="357" w:lineRule="auto"/>
        <w:rPr>
          <w:rFonts w:ascii="Arial"/>
          <w:sz w:val="21"/>
        </w:rPr>
      </w:pPr>
    </w:p>
    <w:p>
      <w:pPr>
        <w:spacing w:before="81" w:line="194" w:lineRule="auto"/>
        <w:ind w:left="36"/>
        <w:rPr>
          <w:rFonts w:ascii="宋体" w:hAnsi="宋体" w:eastAsia="宋体" w:cs="宋体"/>
          <w:sz w:val="13"/>
          <w:szCs w:val="13"/>
        </w:rPr>
      </w:pPr>
      <w:r>
        <w:rPr>
          <w:rFonts w:ascii="Times New Roman" w:hAnsi="Times New Roman" w:eastAsia="Times New Roman" w:cs="Times New Roman"/>
          <w:sz w:val="28"/>
          <w:szCs w:val="28"/>
        </w:rPr>
        <w:t>EF</w:t>
      </w:r>
      <w:r>
        <w:rPr>
          <w:rFonts w:ascii="Times New Roman" w:hAnsi="Times New Roman" w:eastAsia="Times New Roman" w:cs="Times New Roman"/>
          <w:spacing w:val="1"/>
          <w:sz w:val="28"/>
          <w:szCs w:val="28"/>
        </w:rPr>
        <w:t xml:space="preserve"> </w:t>
      </w:r>
      <w:r>
        <w:rPr>
          <w:rFonts w:ascii="宋体" w:hAnsi="宋体" w:eastAsia="宋体" w:cs="宋体"/>
          <w:spacing w:val="1"/>
          <w:sz w:val="13"/>
          <w:szCs w:val="13"/>
        </w:rPr>
        <w:t>热</w:t>
      </w:r>
    </w:p>
    <w:p>
      <w:pPr>
        <w:spacing w:line="14" w:lineRule="auto"/>
        <w:rPr>
          <w:rFonts w:ascii="Arial"/>
          <w:sz w:val="2"/>
        </w:rPr>
      </w:pPr>
      <w:r>
        <w:rPr>
          <w:rFonts w:ascii="Arial" w:hAnsi="Arial" w:eastAsia="Arial" w:cs="Arial"/>
          <w:sz w:val="2"/>
          <w:szCs w:val="2"/>
        </w:rPr>
        <w:br w:type="column"/>
      </w:r>
    </w:p>
    <w:p>
      <w:pPr>
        <w:spacing w:before="55" w:line="332" w:lineRule="auto"/>
        <w:ind w:left="15" w:right="72" w:hanging="15"/>
        <w:rPr>
          <w:rFonts w:ascii="宋体" w:hAnsi="宋体" w:eastAsia="宋体" w:cs="宋体"/>
          <w:sz w:val="28"/>
          <w:szCs w:val="28"/>
        </w:rPr>
      </w:pPr>
      <w:r>
        <w:rPr>
          <w:rFonts w:ascii="宋体" w:hAnsi="宋体" w:eastAsia="宋体" w:cs="宋体"/>
          <w:spacing w:val="-8"/>
          <w:sz w:val="28"/>
          <w:szCs w:val="28"/>
        </w:rPr>
        <w:t>购</w:t>
      </w:r>
      <w:r>
        <w:rPr>
          <w:rFonts w:ascii="宋体" w:hAnsi="宋体" w:eastAsia="宋体" w:cs="宋体"/>
          <w:spacing w:val="-7"/>
          <w:sz w:val="28"/>
          <w:szCs w:val="28"/>
        </w:rPr>
        <w:t>入</w:t>
      </w:r>
      <w:r>
        <w:rPr>
          <w:rFonts w:ascii="宋体" w:hAnsi="宋体" w:eastAsia="宋体" w:cs="宋体"/>
          <w:spacing w:val="-4"/>
          <w:sz w:val="28"/>
          <w:szCs w:val="28"/>
        </w:rPr>
        <w:t>的热力所对应的热力生产环节二氧化碳排放量，单位为</w:t>
      </w:r>
      <w:r>
        <w:rPr>
          <w:rFonts w:ascii="宋体" w:hAnsi="宋体" w:eastAsia="宋体" w:cs="宋体"/>
          <w:sz w:val="28"/>
          <w:szCs w:val="28"/>
        </w:rPr>
        <w:t xml:space="preserve"> </w:t>
      </w:r>
      <w:r>
        <w:rPr>
          <w:rFonts w:ascii="宋体" w:hAnsi="宋体" w:eastAsia="宋体" w:cs="宋体"/>
          <w:spacing w:val="-5"/>
          <w:sz w:val="28"/>
          <w:szCs w:val="28"/>
        </w:rPr>
        <w:t>吨</w:t>
      </w:r>
      <w:r>
        <w:rPr>
          <w:rFonts w:ascii="宋体" w:hAnsi="宋体" w:eastAsia="宋体" w:cs="宋体"/>
          <w:spacing w:val="-4"/>
          <w:sz w:val="28"/>
          <w:szCs w:val="28"/>
        </w:rPr>
        <w:t>二氧化碳 (</w:t>
      </w:r>
      <w:r>
        <w:rPr>
          <w:rFonts w:ascii="Times New Roman" w:hAnsi="Times New Roman" w:eastAsia="Times New Roman" w:cs="Times New Roman"/>
          <w:spacing w:val="-4"/>
          <w:sz w:val="28"/>
          <w:szCs w:val="28"/>
        </w:rPr>
        <w:t>tCO</w:t>
      </w:r>
      <w:r>
        <w:rPr>
          <w:rFonts w:ascii="Times New Roman" w:hAnsi="Times New Roman" w:eastAsia="Times New Roman" w:cs="Times New Roman"/>
          <w:spacing w:val="-4"/>
          <w:position w:val="-1"/>
          <w:sz w:val="17"/>
          <w:szCs w:val="17"/>
        </w:rPr>
        <w:t xml:space="preserve">2 </w:t>
      </w:r>
      <w:r>
        <w:rPr>
          <w:rFonts w:ascii="宋体" w:hAnsi="宋体" w:eastAsia="宋体" w:cs="宋体"/>
          <w:spacing w:val="-4"/>
          <w:sz w:val="28"/>
          <w:szCs w:val="28"/>
        </w:rPr>
        <w:t>) ；</w:t>
      </w:r>
    </w:p>
    <w:p>
      <w:pPr>
        <w:spacing w:line="358" w:lineRule="auto"/>
        <w:ind w:left="2" w:firstLine="3"/>
        <w:rPr>
          <w:rFonts w:ascii="宋体" w:hAnsi="宋体" w:eastAsia="宋体" w:cs="宋体"/>
          <w:sz w:val="28"/>
          <w:szCs w:val="28"/>
        </w:rPr>
      </w:pPr>
      <w:r>
        <w:rPr>
          <w:rFonts w:ascii="宋体" w:hAnsi="宋体" w:eastAsia="宋体" w:cs="宋体"/>
          <w:spacing w:val="-10"/>
          <w:sz w:val="28"/>
          <w:szCs w:val="28"/>
        </w:rPr>
        <w:t xml:space="preserve">核算和报告年度内企业的净外购使用的电量，单位为 </w:t>
      </w:r>
      <w:r>
        <w:rPr>
          <w:rFonts w:ascii="Times New Roman" w:hAnsi="Times New Roman" w:eastAsia="Times New Roman" w:cs="Times New Roman"/>
          <w:spacing w:val="-10"/>
          <w:sz w:val="28"/>
          <w:szCs w:val="28"/>
        </w:rPr>
        <w:t>MW</w:t>
      </w:r>
      <w:r>
        <w:rPr>
          <w:rFonts w:ascii="Times New Roman" w:hAnsi="Times New Roman" w:eastAsia="Times New Roman" w:cs="Times New Roman"/>
          <w:spacing w:val="-7"/>
          <w:sz w:val="28"/>
          <w:szCs w:val="28"/>
        </w:rPr>
        <w:t>h</w:t>
      </w:r>
      <w:r>
        <w:rPr>
          <w:rFonts w:ascii="宋体" w:hAnsi="宋体" w:eastAsia="宋体" w:cs="宋体"/>
          <w:spacing w:val="-10"/>
          <w:sz w:val="28"/>
          <w:szCs w:val="28"/>
        </w:rPr>
        <w:t>；</w:t>
      </w:r>
      <w:r>
        <w:rPr>
          <w:rFonts w:ascii="宋体" w:hAnsi="宋体" w:eastAsia="宋体" w:cs="宋体"/>
          <w:sz w:val="28"/>
          <w:szCs w:val="28"/>
        </w:rPr>
        <w:t xml:space="preserve"> </w:t>
      </w:r>
      <w:r>
        <w:rPr>
          <w:rFonts w:ascii="宋体" w:hAnsi="宋体" w:eastAsia="宋体" w:cs="宋体"/>
          <w:spacing w:val="-8"/>
          <w:sz w:val="28"/>
          <w:szCs w:val="28"/>
        </w:rPr>
        <w:t>核算</w:t>
      </w:r>
      <w:r>
        <w:rPr>
          <w:rFonts w:ascii="宋体" w:hAnsi="宋体" w:eastAsia="宋体" w:cs="宋体"/>
          <w:spacing w:val="-5"/>
          <w:sz w:val="28"/>
          <w:szCs w:val="28"/>
        </w:rPr>
        <w:t>和</w:t>
      </w:r>
      <w:r>
        <w:rPr>
          <w:rFonts w:ascii="宋体" w:hAnsi="宋体" w:eastAsia="宋体" w:cs="宋体"/>
          <w:spacing w:val="-4"/>
          <w:sz w:val="28"/>
          <w:szCs w:val="28"/>
        </w:rPr>
        <w:t>报告年度内企业的净外购使用的热力，单位为百万千</w:t>
      </w:r>
      <w:r>
        <w:rPr>
          <w:rFonts w:ascii="宋体" w:hAnsi="宋体" w:eastAsia="宋体" w:cs="宋体"/>
          <w:sz w:val="28"/>
          <w:szCs w:val="28"/>
        </w:rPr>
        <w:t xml:space="preserve"> </w:t>
      </w:r>
      <w:r>
        <w:rPr>
          <w:rFonts w:ascii="宋体" w:hAnsi="宋体" w:eastAsia="宋体" w:cs="宋体"/>
          <w:spacing w:val="-2"/>
          <w:sz w:val="28"/>
          <w:szCs w:val="28"/>
        </w:rPr>
        <w:t>焦 (</w:t>
      </w:r>
      <w:r>
        <w:rPr>
          <w:rFonts w:ascii="Times New Roman" w:hAnsi="Times New Roman" w:eastAsia="Times New Roman" w:cs="Times New Roman"/>
          <w:spacing w:val="-1"/>
          <w:sz w:val="28"/>
          <w:szCs w:val="28"/>
        </w:rPr>
        <w:t>GJ</w:t>
      </w:r>
      <w:r>
        <w:rPr>
          <w:rFonts w:ascii="宋体" w:hAnsi="宋体" w:eastAsia="宋体" w:cs="宋体"/>
          <w:spacing w:val="-1"/>
          <w:sz w:val="28"/>
          <w:szCs w:val="28"/>
        </w:rPr>
        <w:t>) ；</w:t>
      </w:r>
    </w:p>
    <w:p>
      <w:pPr>
        <w:spacing w:line="338" w:lineRule="auto"/>
        <w:ind w:left="10" w:right="176" w:firstLine="12"/>
        <w:rPr>
          <w:rFonts w:ascii="宋体" w:hAnsi="宋体" w:eastAsia="宋体" w:cs="宋体"/>
          <w:sz w:val="28"/>
          <w:szCs w:val="28"/>
        </w:rPr>
      </w:pPr>
      <w:r>
        <w:rPr>
          <w:rFonts w:ascii="宋体" w:hAnsi="宋体" w:eastAsia="宋体" w:cs="宋体"/>
          <w:spacing w:val="-2"/>
          <w:sz w:val="28"/>
          <w:szCs w:val="28"/>
        </w:rPr>
        <w:t>区域电网年平均供电</w:t>
      </w:r>
      <w:r>
        <w:rPr>
          <w:rFonts w:ascii="宋体" w:hAnsi="宋体" w:eastAsia="宋体" w:cs="宋体"/>
          <w:spacing w:val="-1"/>
          <w:sz w:val="28"/>
          <w:szCs w:val="28"/>
        </w:rPr>
        <w:t>排放因子，单位为吨二氧化碳</w:t>
      </w:r>
      <w:r>
        <w:rPr>
          <w:rFonts w:ascii="Times New Roman" w:hAnsi="Times New Roman" w:eastAsia="Times New Roman" w:cs="Times New Roman"/>
          <w:spacing w:val="-1"/>
          <w:sz w:val="28"/>
          <w:szCs w:val="28"/>
        </w:rPr>
        <w:t>/</w:t>
      </w:r>
      <w:r>
        <w:rPr>
          <w:rFonts w:ascii="宋体" w:hAnsi="宋体" w:eastAsia="宋体" w:cs="宋体"/>
          <w:spacing w:val="-1"/>
          <w:sz w:val="28"/>
          <w:szCs w:val="28"/>
        </w:rPr>
        <w:t>兆瓦时</w:t>
      </w:r>
      <w:r>
        <w:rPr>
          <w:rFonts w:ascii="宋体" w:hAnsi="宋体" w:eastAsia="宋体" w:cs="宋体"/>
          <w:sz w:val="28"/>
          <w:szCs w:val="28"/>
        </w:rPr>
        <w:t xml:space="preserve"> </w:t>
      </w:r>
      <w:r>
        <w:rPr>
          <w:rFonts w:ascii="宋体" w:hAnsi="宋体" w:eastAsia="宋体" w:cs="宋体"/>
          <w:spacing w:val="21"/>
          <w:sz w:val="28"/>
          <w:szCs w:val="28"/>
        </w:rPr>
        <w:t>(</w:t>
      </w:r>
      <w:r>
        <w:rPr>
          <w:rFonts w:ascii="Times New Roman" w:hAnsi="Times New Roman" w:eastAsia="Times New Roman" w:cs="Times New Roman"/>
          <w:sz w:val="28"/>
          <w:szCs w:val="28"/>
        </w:rPr>
        <w:t>tCO</w:t>
      </w:r>
      <w:r>
        <w:rPr>
          <w:rFonts w:ascii="Times New Roman" w:hAnsi="Times New Roman" w:eastAsia="Times New Roman" w:cs="Times New Roman"/>
          <w:spacing w:val="21"/>
          <w:position w:val="-2"/>
          <w:sz w:val="17"/>
          <w:szCs w:val="17"/>
        </w:rPr>
        <w:t>2</w:t>
      </w:r>
      <w:r>
        <w:rPr>
          <w:rFonts w:ascii="Times New Roman" w:hAnsi="Times New Roman" w:eastAsia="Times New Roman" w:cs="Times New Roman"/>
          <w:spacing w:val="21"/>
          <w:sz w:val="28"/>
          <w:szCs w:val="28"/>
        </w:rPr>
        <w:t>/</w:t>
      </w:r>
      <w:r>
        <w:rPr>
          <w:rFonts w:ascii="Times New Roman" w:hAnsi="Times New Roman" w:eastAsia="Times New Roman" w:cs="Times New Roman"/>
          <w:sz w:val="28"/>
          <w:szCs w:val="28"/>
        </w:rPr>
        <w:t>MWh</w:t>
      </w:r>
      <w:r>
        <w:rPr>
          <w:rFonts w:ascii="宋体" w:hAnsi="宋体" w:eastAsia="宋体" w:cs="宋体"/>
          <w:spacing w:val="21"/>
          <w:sz w:val="28"/>
          <w:szCs w:val="28"/>
        </w:rPr>
        <w:t>) 。</w:t>
      </w:r>
    </w:p>
    <w:p>
      <w:pPr>
        <w:spacing w:before="33" w:line="286" w:lineRule="auto"/>
        <w:ind w:left="9" w:right="1013" w:hanging="2"/>
        <w:rPr>
          <w:rFonts w:ascii="宋体" w:hAnsi="宋体" w:eastAsia="宋体" w:cs="宋体"/>
          <w:sz w:val="28"/>
          <w:szCs w:val="28"/>
        </w:rPr>
      </w:pPr>
      <w:r>
        <w:rPr>
          <w:rFonts w:ascii="宋体" w:hAnsi="宋体" w:eastAsia="宋体" w:cs="宋体"/>
          <w:spacing w:val="-1"/>
          <w:sz w:val="28"/>
          <w:szCs w:val="28"/>
        </w:rPr>
        <w:t>热力供应的排放因子，单位为吨二氧化</w:t>
      </w:r>
      <w:r>
        <w:rPr>
          <w:rFonts w:ascii="宋体" w:hAnsi="宋体" w:eastAsia="宋体" w:cs="宋体"/>
          <w:sz w:val="28"/>
          <w:szCs w:val="28"/>
        </w:rPr>
        <w:t>碳</w:t>
      </w:r>
      <w:r>
        <w:rPr>
          <w:rFonts w:ascii="Times New Roman" w:hAnsi="Times New Roman" w:eastAsia="Times New Roman" w:cs="Times New Roman"/>
          <w:sz w:val="28"/>
          <w:szCs w:val="28"/>
        </w:rPr>
        <w:t>/</w:t>
      </w:r>
      <w:r>
        <w:rPr>
          <w:rFonts w:ascii="宋体" w:hAnsi="宋体" w:eastAsia="宋体" w:cs="宋体"/>
          <w:sz w:val="28"/>
          <w:szCs w:val="28"/>
        </w:rPr>
        <w:t xml:space="preserve">百万千焦 </w:t>
      </w:r>
      <w:r>
        <w:rPr>
          <w:rFonts w:ascii="宋体" w:hAnsi="宋体" w:eastAsia="宋体" w:cs="宋体"/>
          <w:spacing w:val="22"/>
          <w:sz w:val="28"/>
          <w:szCs w:val="28"/>
        </w:rPr>
        <w:t>(</w:t>
      </w:r>
      <w:r>
        <w:rPr>
          <w:rFonts w:ascii="Times New Roman" w:hAnsi="Times New Roman" w:eastAsia="Times New Roman" w:cs="Times New Roman"/>
          <w:sz w:val="28"/>
          <w:szCs w:val="28"/>
        </w:rPr>
        <w:t>tCO</w:t>
      </w:r>
      <w:r>
        <w:rPr>
          <w:rFonts w:ascii="Times New Roman" w:hAnsi="Times New Roman" w:eastAsia="Times New Roman" w:cs="Times New Roman"/>
          <w:spacing w:val="21"/>
          <w:position w:val="-2"/>
          <w:sz w:val="17"/>
          <w:szCs w:val="17"/>
        </w:rPr>
        <w:t>2</w:t>
      </w:r>
      <w:r>
        <w:rPr>
          <w:rFonts w:ascii="Times New Roman" w:hAnsi="Times New Roman" w:eastAsia="Times New Roman" w:cs="Times New Roman"/>
          <w:spacing w:val="21"/>
          <w:sz w:val="28"/>
          <w:szCs w:val="28"/>
        </w:rPr>
        <w:t>/</w:t>
      </w:r>
      <w:r>
        <w:rPr>
          <w:rFonts w:ascii="Times New Roman" w:hAnsi="Times New Roman" w:eastAsia="Times New Roman" w:cs="Times New Roman"/>
          <w:sz w:val="28"/>
          <w:szCs w:val="28"/>
        </w:rPr>
        <w:t>GJ</w:t>
      </w:r>
      <w:r>
        <w:rPr>
          <w:rFonts w:ascii="宋体" w:hAnsi="宋体" w:eastAsia="宋体" w:cs="宋体"/>
          <w:spacing w:val="21"/>
          <w:sz w:val="28"/>
          <w:szCs w:val="28"/>
        </w:rPr>
        <w:t>) 。</w:t>
      </w:r>
    </w:p>
    <w:p>
      <w:pPr>
        <w:sectPr>
          <w:type w:val="continuous"/>
          <w:pgSz w:w="11906" w:h="16840"/>
          <w:pgMar w:top="1171" w:right="1728" w:bottom="1025" w:left="1785" w:header="901" w:footer="852" w:gutter="0"/>
          <w:pgNumType w:fmt="decimal"/>
          <w:cols w:equalWidth="0" w:num="2">
            <w:col w:w="1049" w:space="100"/>
            <w:col w:w="7243"/>
          </w:cols>
        </w:sectPr>
      </w:pPr>
    </w:p>
    <w:p>
      <w:pPr>
        <w:pStyle w:val="8"/>
        <w:bidi w:val="0"/>
      </w:pPr>
      <w:r>
        <w:t>核查组查阅了《排放报告 (终版) 》，确认其采用的核算方法正确，符合《核算指南》的要求。</w:t>
      </w:r>
    </w:p>
    <w:p>
      <w:pPr>
        <w:pStyle w:val="4"/>
        <w:keepNext/>
        <w:keepLines/>
        <w:pageBreakBefore w:val="0"/>
        <w:widowControl/>
        <w:kinsoku/>
        <w:wordWrap/>
        <w:overflowPunct/>
        <w:topLinePunct w:val="0"/>
        <w:autoSpaceDE/>
        <w:autoSpaceDN/>
        <w:bidi w:val="0"/>
        <w:adjustRightInd/>
        <w:snapToGrid/>
        <w:spacing w:line="360" w:lineRule="auto"/>
        <w:textAlignment w:val="auto"/>
      </w:pPr>
      <w:bookmarkStart w:id="42" w:name="_bookmark22"/>
      <w:bookmarkEnd w:id="42"/>
      <w:bookmarkStart w:id="43" w:name="_Toc15455"/>
      <w:r>
        <w:t>3.4</w:t>
      </w:r>
      <w:r>
        <w:rPr>
          <w:rFonts w:hint="eastAsia"/>
          <w:lang w:val="en-US" w:eastAsia="zh-CN"/>
        </w:rPr>
        <w:t xml:space="preserve">  </w:t>
      </w:r>
      <w:r>
        <w:t>核算数据的核查</w:t>
      </w:r>
      <w:bookmarkEnd w:id="43"/>
    </w:p>
    <w:p>
      <w:pPr>
        <w:pStyle w:val="5"/>
        <w:keepNext/>
        <w:keepLines/>
        <w:pageBreakBefore w:val="0"/>
        <w:widowControl/>
        <w:kinsoku/>
        <w:wordWrap/>
        <w:overflowPunct/>
        <w:topLinePunct w:val="0"/>
        <w:autoSpaceDE/>
        <w:autoSpaceDN/>
        <w:bidi w:val="0"/>
        <w:adjustRightInd/>
        <w:snapToGrid/>
        <w:spacing w:line="360" w:lineRule="auto"/>
        <w:textAlignment w:val="auto"/>
      </w:pPr>
      <w:bookmarkStart w:id="44" w:name="_bookmark23"/>
      <w:bookmarkEnd w:id="44"/>
      <w:bookmarkStart w:id="45" w:name="_Toc2025"/>
      <w:r>
        <w:t>3.4.1活动数据及来源的核查</w:t>
      </w:r>
      <w:bookmarkEnd w:id="45"/>
    </w:p>
    <w:p>
      <w:pPr>
        <w:pStyle w:val="6"/>
        <w:bidi w:val="0"/>
      </w:pPr>
      <w:r>
        <w:t>3.4.1.1净购入电力活动数据</w:t>
      </w:r>
    </w:p>
    <w:p>
      <w:pPr>
        <w:pStyle w:val="8"/>
        <w:bidi w:val="0"/>
      </w:pPr>
      <w:r>
        <w:t>受核查方</w:t>
      </w:r>
      <w:r>
        <w:rPr>
          <w:rFonts w:hint="eastAsia"/>
          <w:lang w:val="en-US" w:eastAsia="zh-CN"/>
        </w:rPr>
        <w:t>电力由当地</w:t>
      </w:r>
      <w:r>
        <w:rPr>
          <w:rFonts w:hint="eastAsia"/>
        </w:rPr>
        <w:t>供电局供应</w:t>
      </w:r>
      <w:r>
        <w:t>。受核查方配置一级电能表1个，由</w:t>
      </w:r>
      <w:r>
        <w:rPr>
          <w:rFonts w:hint="eastAsia"/>
          <w:lang w:val="en-US" w:eastAsia="zh-CN"/>
        </w:rPr>
        <w:t>秀洲区供电局</w:t>
      </w:r>
      <w:r>
        <w:rPr>
          <w:rFonts w:hint="eastAsia"/>
        </w:rPr>
        <w:t>所</w:t>
      </w:r>
      <w:r>
        <w:t>定期派遣专人校验。</w:t>
      </w:r>
    </w:p>
    <w:p>
      <w:pPr>
        <w:spacing w:line="170" w:lineRule="exact"/>
      </w:pPr>
    </w:p>
    <w:tbl>
      <w:tblPr>
        <w:tblStyle w:val="16"/>
        <w:tblW w:w="8297" w:type="dxa"/>
        <w:tblInd w:w="3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89"/>
        <w:gridCol w:w="2945"/>
        <w:gridCol w:w="29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8297" w:type="dxa"/>
            <w:gridSpan w:val="3"/>
            <w:vAlign w:val="top"/>
          </w:tcPr>
          <w:p>
            <w:pPr>
              <w:spacing w:before="111" w:line="228" w:lineRule="auto"/>
              <w:ind w:left="3487"/>
              <w:rPr>
                <w:rFonts w:ascii="宋体" w:hAnsi="宋体" w:eastAsia="宋体" w:cs="宋体"/>
                <w:sz w:val="23"/>
                <w:szCs w:val="23"/>
              </w:rPr>
            </w:pPr>
            <w:r>
              <w:rPr>
                <w:rFonts w:ascii="宋体" w:hAnsi="宋体" w:eastAsia="宋体" w:cs="宋体"/>
                <w:spacing w:val="-8"/>
                <w:sz w:val="23"/>
                <w:szCs w:val="23"/>
              </w:rPr>
              <w:t>核</w:t>
            </w:r>
            <w:r>
              <w:rPr>
                <w:rFonts w:ascii="宋体" w:hAnsi="宋体" w:eastAsia="宋体" w:cs="宋体"/>
                <w:spacing w:val="-4"/>
                <w:sz w:val="23"/>
                <w:szCs w:val="23"/>
              </w:rPr>
              <w:t>查过程描述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389" w:type="dxa"/>
            <w:vAlign w:val="top"/>
          </w:tcPr>
          <w:p>
            <w:pPr>
              <w:spacing w:before="108" w:line="227" w:lineRule="auto"/>
              <w:ind w:left="755"/>
              <w:rPr>
                <w:rFonts w:ascii="宋体" w:hAnsi="宋体" w:eastAsia="宋体" w:cs="宋体"/>
                <w:sz w:val="23"/>
                <w:szCs w:val="23"/>
              </w:rPr>
            </w:pPr>
            <w:r>
              <w:rPr>
                <w:rFonts w:ascii="宋体" w:hAnsi="宋体" w:eastAsia="宋体" w:cs="宋体"/>
                <w:spacing w:val="-4"/>
                <w:sz w:val="23"/>
                <w:szCs w:val="23"/>
              </w:rPr>
              <w:t>数</w:t>
            </w:r>
            <w:r>
              <w:rPr>
                <w:rFonts w:ascii="宋体" w:hAnsi="宋体" w:eastAsia="宋体" w:cs="宋体"/>
                <w:spacing w:val="-3"/>
                <w:sz w:val="23"/>
                <w:szCs w:val="23"/>
              </w:rPr>
              <w:t>据名称</w:t>
            </w:r>
          </w:p>
        </w:tc>
        <w:tc>
          <w:tcPr>
            <w:tcW w:w="5908" w:type="dxa"/>
            <w:gridSpan w:val="2"/>
            <w:vAlign w:val="top"/>
          </w:tcPr>
          <w:p>
            <w:pPr>
              <w:spacing w:before="108" w:line="227" w:lineRule="auto"/>
              <w:ind w:left="2765"/>
              <w:rPr>
                <w:rFonts w:ascii="宋体" w:hAnsi="宋体" w:eastAsia="宋体" w:cs="宋体"/>
                <w:sz w:val="23"/>
                <w:szCs w:val="23"/>
              </w:rPr>
            </w:pPr>
            <w:r>
              <w:rPr>
                <w:rFonts w:ascii="宋体" w:hAnsi="宋体" w:eastAsia="宋体" w:cs="宋体"/>
                <w:spacing w:val="-15"/>
                <w:sz w:val="23"/>
                <w:szCs w:val="23"/>
              </w:rPr>
              <w:t>电</w:t>
            </w:r>
            <w:r>
              <w:rPr>
                <w:rFonts w:ascii="宋体" w:hAnsi="宋体" w:eastAsia="宋体" w:cs="宋体"/>
                <w:spacing w:val="-13"/>
                <w:sz w:val="23"/>
                <w:szCs w:val="23"/>
              </w:rPr>
              <w:t>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2389" w:type="dxa"/>
            <w:vAlign w:val="top"/>
          </w:tcPr>
          <w:p>
            <w:pPr>
              <w:spacing w:before="107" w:line="227" w:lineRule="auto"/>
              <w:ind w:left="640"/>
              <w:rPr>
                <w:rFonts w:ascii="宋体" w:hAnsi="宋体" w:eastAsia="宋体" w:cs="宋体"/>
                <w:sz w:val="23"/>
                <w:szCs w:val="23"/>
              </w:rPr>
            </w:pPr>
            <w:r>
              <w:rPr>
                <w:rFonts w:ascii="宋体" w:hAnsi="宋体" w:eastAsia="宋体" w:cs="宋体"/>
                <w:spacing w:val="-6"/>
                <w:sz w:val="23"/>
                <w:szCs w:val="23"/>
              </w:rPr>
              <w:t>排</w:t>
            </w:r>
            <w:r>
              <w:rPr>
                <w:rFonts w:ascii="宋体" w:hAnsi="宋体" w:eastAsia="宋体" w:cs="宋体"/>
                <w:spacing w:val="-3"/>
                <w:sz w:val="23"/>
                <w:szCs w:val="23"/>
              </w:rPr>
              <w:t>放源类型</w:t>
            </w:r>
          </w:p>
        </w:tc>
        <w:tc>
          <w:tcPr>
            <w:tcW w:w="5908" w:type="dxa"/>
            <w:gridSpan w:val="2"/>
            <w:vAlign w:val="top"/>
          </w:tcPr>
          <w:p>
            <w:pPr>
              <w:spacing w:before="107" w:line="227" w:lineRule="auto"/>
              <w:ind w:left="2180"/>
              <w:rPr>
                <w:rFonts w:ascii="宋体" w:hAnsi="宋体" w:eastAsia="宋体" w:cs="宋体"/>
                <w:sz w:val="23"/>
                <w:szCs w:val="23"/>
              </w:rPr>
            </w:pPr>
            <w:r>
              <w:rPr>
                <w:rFonts w:ascii="宋体" w:hAnsi="宋体" w:eastAsia="宋体" w:cs="宋体"/>
                <w:spacing w:val="-8"/>
                <w:sz w:val="23"/>
                <w:szCs w:val="23"/>
              </w:rPr>
              <w:t>净</w:t>
            </w:r>
            <w:r>
              <w:rPr>
                <w:rFonts w:ascii="宋体" w:hAnsi="宋体" w:eastAsia="宋体" w:cs="宋体"/>
                <w:spacing w:val="-4"/>
                <w:sz w:val="23"/>
                <w:szCs w:val="23"/>
              </w:rPr>
              <w:t>购入电力排放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2389" w:type="dxa"/>
            <w:vAlign w:val="top"/>
          </w:tcPr>
          <w:p>
            <w:pPr>
              <w:spacing w:before="107" w:line="229" w:lineRule="auto"/>
              <w:ind w:left="753"/>
              <w:rPr>
                <w:rFonts w:ascii="宋体" w:hAnsi="宋体" w:eastAsia="宋体" w:cs="宋体"/>
                <w:sz w:val="23"/>
                <w:szCs w:val="23"/>
              </w:rPr>
            </w:pPr>
            <w:r>
              <w:rPr>
                <w:rFonts w:ascii="宋体" w:hAnsi="宋体" w:eastAsia="宋体" w:cs="宋体"/>
                <w:spacing w:val="-4"/>
                <w:sz w:val="23"/>
                <w:szCs w:val="23"/>
              </w:rPr>
              <w:t>排</w:t>
            </w:r>
            <w:r>
              <w:rPr>
                <w:rFonts w:ascii="宋体" w:hAnsi="宋体" w:eastAsia="宋体" w:cs="宋体"/>
                <w:spacing w:val="-3"/>
                <w:sz w:val="23"/>
                <w:szCs w:val="23"/>
              </w:rPr>
              <w:t>放</w:t>
            </w:r>
            <w:r>
              <w:rPr>
                <w:rFonts w:ascii="宋体" w:hAnsi="宋体" w:eastAsia="宋体" w:cs="宋体"/>
                <w:spacing w:val="-2"/>
                <w:sz w:val="23"/>
                <w:szCs w:val="23"/>
              </w:rPr>
              <w:t>设施</w:t>
            </w:r>
          </w:p>
        </w:tc>
        <w:tc>
          <w:tcPr>
            <w:tcW w:w="5908" w:type="dxa"/>
            <w:gridSpan w:val="2"/>
            <w:vAlign w:val="top"/>
          </w:tcPr>
          <w:p>
            <w:pPr>
              <w:spacing w:before="108" w:line="227" w:lineRule="auto"/>
              <w:ind w:left="2066"/>
              <w:rPr>
                <w:rFonts w:ascii="宋体" w:hAnsi="宋体" w:eastAsia="宋体" w:cs="宋体"/>
                <w:sz w:val="23"/>
                <w:szCs w:val="23"/>
              </w:rPr>
            </w:pPr>
            <w:r>
              <w:rPr>
                <w:rFonts w:ascii="宋体" w:hAnsi="宋体" w:eastAsia="宋体" w:cs="宋体"/>
                <w:spacing w:val="-8"/>
                <w:sz w:val="23"/>
                <w:szCs w:val="23"/>
              </w:rPr>
              <w:t>生</w:t>
            </w:r>
            <w:r>
              <w:rPr>
                <w:rFonts w:ascii="宋体" w:hAnsi="宋体" w:eastAsia="宋体" w:cs="宋体"/>
                <w:spacing w:val="-6"/>
                <w:sz w:val="23"/>
                <w:szCs w:val="23"/>
              </w:rPr>
              <w:t>产</w:t>
            </w:r>
            <w:r>
              <w:rPr>
                <w:rFonts w:ascii="宋体" w:hAnsi="宋体" w:eastAsia="宋体" w:cs="宋体"/>
                <w:spacing w:val="-4"/>
                <w:sz w:val="23"/>
                <w:szCs w:val="23"/>
              </w:rPr>
              <w:t>用电设备设施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2389" w:type="dxa"/>
            <w:vAlign w:val="top"/>
          </w:tcPr>
          <w:p>
            <w:pPr>
              <w:spacing w:before="109" w:line="227" w:lineRule="auto"/>
              <w:ind w:left="9"/>
              <w:rPr>
                <w:rFonts w:ascii="宋体" w:hAnsi="宋体" w:eastAsia="宋体" w:cs="宋体"/>
                <w:sz w:val="23"/>
                <w:szCs w:val="23"/>
              </w:rPr>
            </w:pPr>
            <w:r>
              <w:rPr>
                <w:rFonts w:ascii="宋体" w:hAnsi="宋体" w:eastAsia="宋体" w:cs="宋体"/>
                <w:spacing w:val="-16"/>
                <w:sz w:val="23"/>
                <w:szCs w:val="23"/>
              </w:rPr>
              <w:t>排</w:t>
            </w:r>
            <w:r>
              <w:rPr>
                <w:rFonts w:ascii="宋体" w:hAnsi="宋体" w:eastAsia="宋体" w:cs="宋体"/>
                <w:spacing w:val="-14"/>
                <w:sz w:val="23"/>
                <w:szCs w:val="23"/>
              </w:rPr>
              <w:t>放源所属部门及地点：</w:t>
            </w:r>
          </w:p>
        </w:tc>
        <w:tc>
          <w:tcPr>
            <w:tcW w:w="5908" w:type="dxa"/>
            <w:gridSpan w:val="2"/>
            <w:vAlign w:val="top"/>
          </w:tcPr>
          <w:p>
            <w:pPr>
              <w:spacing w:before="109" w:line="228" w:lineRule="auto"/>
              <w:ind w:left="2624"/>
              <w:rPr>
                <w:rFonts w:ascii="宋体" w:hAnsi="宋体" w:eastAsia="宋体" w:cs="宋体"/>
                <w:sz w:val="23"/>
                <w:szCs w:val="23"/>
              </w:rPr>
            </w:pPr>
            <w:r>
              <w:rPr>
                <w:rFonts w:ascii="宋体" w:hAnsi="宋体" w:eastAsia="宋体" w:cs="宋体"/>
                <w:spacing w:val="-3"/>
                <w:sz w:val="23"/>
                <w:szCs w:val="23"/>
              </w:rPr>
              <w:t>全</w:t>
            </w:r>
            <w:r>
              <w:rPr>
                <w:rFonts w:ascii="宋体" w:hAnsi="宋体" w:eastAsia="宋体" w:cs="宋体"/>
                <w:spacing w:val="-2"/>
                <w:sz w:val="23"/>
                <w:szCs w:val="23"/>
              </w:rPr>
              <w:t>厂区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2389" w:type="dxa"/>
            <w:vAlign w:val="top"/>
          </w:tcPr>
          <w:p>
            <w:pPr>
              <w:spacing w:before="110" w:line="227" w:lineRule="auto"/>
              <w:ind w:left="978"/>
              <w:rPr>
                <w:rFonts w:ascii="宋体" w:hAnsi="宋体" w:eastAsia="宋体" w:cs="宋体"/>
                <w:sz w:val="23"/>
                <w:szCs w:val="23"/>
              </w:rPr>
            </w:pPr>
            <w:r>
              <w:rPr>
                <w:rFonts w:ascii="宋体" w:hAnsi="宋体" w:eastAsia="宋体" w:cs="宋体"/>
                <w:spacing w:val="-1"/>
                <w:sz w:val="23"/>
                <w:szCs w:val="23"/>
              </w:rPr>
              <w:t>数值</w:t>
            </w:r>
          </w:p>
        </w:tc>
        <w:tc>
          <w:tcPr>
            <w:tcW w:w="2945" w:type="dxa"/>
            <w:vAlign w:val="top"/>
          </w:tcPr>
          <w:p>
            <w:pPr>
              <w:spacing w:before="110" w:line="227" w:lineRule="auto"/>
              <w:ind w:left="439"/>
              <w:rPr>
                <w:rFonts w:hint="default" w:ascii="宋体" w:hAnsi="宋体" w:eastAsia="宋体" w:cs="宋体"/>
                <w:sz w:val="23"/>
                <w:szCs w:val="23"/>
                <w:highlight w:val="none"/>
                <w:lang w:val="en-US" w:eastAsia="zh-CN"/>
              </w:rPr>
            </w:pPr>
            <w:r>
              <w:rPr>
                <w:rFonts w:ascii="宋体" w:hAnsi="宋体" w:eastAsia="宋体" w:cs="宋体"/>
                <w:spacing w:val="-1"/>
                <w:sz w:val="23"/>
                <w:szCs w:val="23"/>
                <w:highlight w:val="none"/>
              </w:rPr>
              <w:t>填</w:t>
            </w:r>
            <w:r>
              <w:rPr>
                <w:rFonts w:ascii="宋体" w:hAnsi="宋体" w:eastAsia="宋体" w:cs="宋体"/>
                <w:sz w:val="23"/>
                <w:szCs w:val="23"/>
                <w:highlight w:val="none"/>
              </w:rPr>
              <w:t>报数据：</w:t>
            </w:r>
            <w:r>
              <w:rPr>
                <w:rFonts w:hint="eastAsia" w:ascii="宋体" w:hAnsi="宋体" w:eastAsia="宋体" w:cs="宋体"/>
                <w:sz w:val="23"/>
                <w:szCs w:val="23"/>
                <w:highlight w:val="none"/>
                <w:lang w:val="en-US" w:eastAsia="zh-CN"/>
              </w:rPr>
              <w:t>6170</w:t>
            </w:r>
          </w:p>
        </w:tc>
        <w:tc>
          <w:tcPr>
            <w:tcW w:w="2963" w:type="dxa"/>
            <w:vAlign w:val="top"/>
          </w:tcPr>
          <w:p>
            <w:pPr>
              <w:spacing w:before="110" w:line="227" w:lineRule="auto"/>
              <w:ind w:left="452"/>
              <w:rPr>
                <w:rFonts w:hint="default" w:ascii="宋体" w:hAnsi="宋体" w:eastAsia="宋体" w:cs="宋体"/>
                <w:sz w:val="23"/>
                <w:szCs w:val="23"/>
                <w:highlight w:val="none"/>
                <w:lang w:val="en-US"/>
              </w:rPr>
            </w:pPr>
            <w:r>
              <w:rPr>
                <w:rFonts w:ascii="宋体" w:hAnsi="宋体" w:eastAsia="宋体" w:cs="宋体"/>
                <w:spacing w:val="-1"/>
                <w:sz w:val="23"/>
                <w:szCs w:val="23"/>
                <w:highlight w:val="none"/>
              </w:rPr>
              <w:t>核查数据</w:t>
            </w:r>
            <w:r>
              <w:rPr>
                <w:rFonts w:ascii="宋体" w:hAnsi="宋体" w:eastAsia="宋体" w:cs="宋体"/>
                <w:sz w:val="23"/>
                <w:szCs w:val="23"/>
                <w:highlight w:val="none"/>
              </w:rPr>
              <w:t>：</w:t>
            </w:r>
            <w:r>
              <w:rPr>
                <w:rFonts w:hint="eastAsia" w:ascii="宋体" w:hAnsi="宋体" w:eastAsia="宋体" w:cs="宋体"/>
                <w:sz w:val="23"/>
                <w:szCs w:val="23"/>
                <w:highlight w:val="none"/>
                <w:lang w:val="en-US" w:eastAsia="zh-CN"/>
              </w:rPr>
              <w:t>6170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2389" w:type="dxa"/>
            <w:vAlign w:val="top"/>
          </w:tcPr>
          <w:p>
            <w:pPr>
              <w:spacing w:before="110" w:line="228" w:lineRule="auto"/>
              <w:ind w:left="978"/>
              <w:rPr>
                <w:rFonts w:ascii="宋体" w:hAnsi="宋体" w:eastAsia="宋体" w:cs="宋体"/>
                <w:sz w:val="23"/>
                <w:szCs w:val="23"/>
              </w:rPr>
            </w:pPr>
            <w:r>
              <w:rPr>
                <w:rFonts w:ascii="宋体" w:hAnsi="宋体" w:eastAsia="宋体" w:cs="宋体"/>
                <w:spacing w:val="-1"/>
                <w:sz w:val="23"/>
                <w:szCs w:val="23"/>
              </w:rPr>
              <w:t>单位</w:t>
            </w:r>
          </w:p>
        </w:tc>
        <w:tc>
          <w:tcPr>
            <w:tcW w:w="5908" w:type="dxa"/>
            <w:gridSpan w:val="2"/>
            <w:vAlign w:val="top"/>
          </w:tcPr>
          <w:p>
            <w:pPr>
              <w:spacing w:before="110" w:line="311" w:lineRule="exact"/>
              <w:ind w:left="2784"/>
              <w:rPr>
                <w:rFonts w:ascii="宋体" w:hAnsi="宋体" w:eastAsia="宋体" w:cs="宋体"/>
                <w:sz w:val="23"/>
                <w:szCs w:val="23"/>
              </w:rPr>
            </w:pPr>
            <w:r>
              <w:rPr>
                <w:rFonts w:ascii="宋体" w:hAnsi="宋体" w:eastAsia="宋体" w:cs="宋体"/>
                <w:spacing w:val="1"/>
                <w:position w:val="1"/>
                <w:sz w:val="23"/>
                <w:szCs w:val="23"/>
              </w:rPr>
              <w:t>MWh</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2389" w:type="dxa"/>
            <w:vAlign w:val="top"/>
          </w:tcPr>
          <w:p>
            <w:pPr>
              <w:spacing w:line="253" w:lineRule="auto"/>
              <w:rPr>
                <w:rFonts w:ascii="Arial"/>
                <w:sz w:val="21"/>
              </w:rPr>
            </w:pPr>
          </w:p>
          <w:p>
            <w:pPr>
              <w:spacing w:line="253" w:lineRule="auto"/>
              <w:rPr>
                <w:rFonts w:ascii="Arial"/>
                <w:sz w:val="21"/>
              </w:rPr>
            </w:pPr>
          </w:p>
          <w:p>
            <w:pPr>
              <w:spacing w:before="75" w:line="227" w:lineRule="auto"/>
              <w:ind w:left="755"/>
              <w:rPr>
                <w:rFonts w:ascii="宋体" w:hAnsi="宋体" w:eastAsia="宋体" w:cs="宋体"/>
                <w:sz w:val="23"/>
                <w:szCs w:val="23"/>
              </w:rPr>
            </w:pPr>
            <w:r>
              <w:rPr>
                <w:rFonts w:ascii="宋体" w:hAnsi="宋体" w:eastAsia="宋体" w:cs="宋体"/>
                <w:spacing w:val="-4"/>
                <w:sz w:val="23"/>
                <w:szCs w:val="23"/>
              </w:rPr>
              <w:t>数</w:t>
            </w:r>
            <w:r>
              <w:rPr>
                <w:rFonts w:ascii="宋体" w:hAnsi="宋体" w:eastAsia="宋体" w:cs="宋体"/>
                <w:spacing w:val="-3"/>
                <w:sz w:val="23"/>
                <w:szCs w:val="23"/>
              </w:rPr>
              <w:t>据来源</w:t>
            </w:r>
          </w:p>
        </w:tc>
        <w:tc>
          <w:tcPr>
            <w:tcW w:w="5908" w:type="dxa"/>
            <w:gridSpan w:val="2"/>
            <w:vAlign w:val="top"/>
          </w:tcPr>
          <w:p>
            <w:pPr>
              <w:spacing w:before="118" w:line="227" w:lineRule="auto"/>
              <w:ind w:left="1058"/>
              <w:rPr>
                <w:rFonts w:ascii="宋体" w:hAnsi="宋体" w:eastAsia="宋体" w:cs="宋体"/>
                <w:sz w:val="23"/>
                <w:szCs w:val="23"/>
              </w:rPr>
            </w:pPr>
            <w:r>
              <w:rPr>
                <w:rFonts w:ascii="宋体" w:hAnsi="宋体" w:eastAsia="宋体" w:cs="宋体"/>
                <w:spacing w:val="-10"/>
                <w:sz w:val="23"/>
                <w:szCs w:val="23"/>
              </w:rPr>
              <w:t>填</w:t>
            </w:r>
            <w:r>
              <w:rPr>
                <w:rFonts w:ascii="宋体" w:hAnsi="宋体" w:eastAsia="宋体" w:cs="宋体"/>
                <w:spacing w:val="-7"/>
                <w:sz w:val="23"/>
                <w:szCs w:val="23"/>
              </w:rPr>
              <w:t>报</w:t>
            </w:r>
            <w:r>
              <w:rPr>
                <w:rFonts w:ascii="宋体" w:hAnsi="宋体" w:eastAsia="宋体" w:cs="宋体"/>
                <w:spacing w:val="-5"/>
                <w:sz w:val="23"/>
                <w:szCs w:val="23"/>
              </w:rPr>
              <w:t>数据：《能源购进、消费与库存》</w:t>
            </w:r>
          </w:p>
          <w:p>
            <w:pPr>
              <w:spacing w:before="29" w:line="263" w:lineRule="auto"/>
              <w:ind w:left="1956" w:right="1044" w:hanging="897"/>
              <w:rPr>
                <w:rFonts w:ascii="宋体" w:hAnsi="宋体" w:eastAsia="宋体" w:cs="宋体"/>
                <w:sz w:val="23"/>
                <w:szCs w:val="23"/>
              </w:rPr>
            </w:pPr>
            <w:r>
              <w:rPr>
                <w:rFonts w:ascii="宋体" w:hAnsi="宋体" w:eastAsia="宋体" w:cs="宋体"/>
                <w:spacing w:val="-6"/>
                <w:sz w:val="23"/>
                <w:szCs w:val="23"/>
              </w:rPr>
              <w:t>核查数据：《</w:t>
            </w:r>
            <w:r>
              <w:rPr>
                <w:rFonts w:hint="eastAsia" w:ascii="宋体" w:hAnsi="宋体" w:eastAsia="宋体" w:cs="宋体"/>
                <w:spacing w:val="-6"/>
                <w:sz w:val="23"/>
                <w:szCs w:val="23"/>
                <w:lang w:eastAsia="zh-CN"/>
              </w:rPr>
              <w:t>2022</w:t>
            </w:r>
            <w:r>
              <w:rPr>
                <w:rFonts w:ascii="宋体" w:hAnsi="宋体" w:eastAsia="宋体" w:cs="宋体"/>
                <w:spacing w:val="-6"/>
                <w:sz w:val="23"/>
                <w:szCs w:val="23"/>
              </w:rPr>
              <w:t>年能源消耗统计表</w:t>
            </w:r>
            <w:r>
              <w:rPr>
                <w:rFonts w:ascii="宋体" w:hAnsi="宋体" w:eastAsia="宋体" w:cs="宋体"/>
                <w:spacing w:val="-4"/>
                <w:sz w:val="23"/>
                <w:szCs w:val="23"/>
              </w:rPr>
              <w:t>》</w:t>
            </w:r>
            <w:r>
              <w:rPr>
                <w:rFonts w:ascii="宋体" w:hAnsi="宋体" w:eastAsia="宋体" w:cs="宋体"/>
                <w:sz w:val="23"/>
                <w:szCs w:val="23"/>
              </w:rPr>
              <w:t xml:space="preserve"> </w:t>
            </w:r>
            <w:r>
              <w:rPr>
                <w:rFonts w:ascii="宋体" w:hAnsi="宋体" w:eastAsia="宋体" w:cs="宋体"/>
                <w:spacing w:val="-8"/>
                <w:sz w:val="23"/>
                <w:szCs w:val="23"/>
              </w:rPr>
              <w:t>交</w:t>
            </w:r>
            <w:r>
              <w:rPr>
                <w:rFonts w:ascii="宋体" w:hAnsi="宋体" w:eastAsia="宋体" w:cs="宋体"/>
                <w:spacing w:val="-5"/>
                <w:sz w:val="23"/>
                <w:szCs w:val="23"/>
              </w:rPr>
              <w:t>叉核查数据：发票</w:t>
            </w:r>
          </w:p>
        </w:tc>
      </w:tr>
    </w:tbl>
    <w:p>
      <w:pPr>
        <w:spacing w:line="14" w:lineRule="auto"/>
        <w:rPr>
          <w:rFonts w:ascii="Arial"/>
          <w:sz w:val="2"/>
        </w:rPr>
      </w:pPr>
    </w:p>
    <w:p>
      <w:pPr>
        <w:sectPr>
          <w:type w:val="continuous"/>
          <w:pgSz w:w="11906" w:h="16840"/>
          <w:pgMar w:top="1171" w:right="1728" w:bottom="1025" w:left="1785" w:header="901" w:footer="852" w:gutter="0"/>
          <w:pgNumType w:fmt="decimal"/>
          <w:cols w:equalWidth="0" w:num="1">
            <w:col w:w="8392"/>
          </w:cols>
        </w:sectPr>
      </w:pPr>
    </w:p>
    <w:p/>
    <w:p>
      <w:pPr>
        <w:spacing w:line="26" w:lineRule="exact"/>
      </w:pPr>
    </w:p>
    <w:tbl>
      <w:tblPr>
        <w:tblStyle w:val="16"/>
        <w:tblW w:w="8308" w:type="dxa"/>
        <w:tblInd w:w="4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89"/>
        <w:gridCol w:w="59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389" w:type="dxa"/>
            <w:vAlign w:val="top"/>
          </w:tcPr>
          <w:p>
            <w:pPr>
              <w:spacing w:before="106" w:line="229" w:lineRule="auto"/>
              <w:ind w:left="754"/>
              <w:rPr>
                <w:rFonts w:ascii="宋体" w:hAnsi="宋体" w:eastAsia="宋体" w:cs="宋体"/>
                <w:sz w:val="23"/>
                <w:szCs w:val="23"/>
              </w:rPr>
            </w:pPr>
            <w:r>
              <w:rPr>
                <w:rFonts w:ascii="宋体" w:hAnsi="宋体" w:eastAsia="宋体" w:cs="宋体"/>
                <w:spacing w:val="-3"/>
                <w:sz w:val="23"/>
                <w:szCs w:val="23"/>
              </w:rPr>
              <w:t>监测方法</w:t>
            </w:r>
          </w:p>
        </w:tc>
        <w:tc>
          <w:tcPr>
            <w:tcW w:w="5919" w:type="dxa"/>
            <w:vAlign w:val="top"/>
          </w:tcPr>
          <w:p>
            <w:pPr>
              <w:spacing w:before="107" w:line="227" w:lineRule="auto"/>
              <w:ind w:left="2205"/>
              <w:rPr>
                <w:rFonts w:ascii="宋体" w:hAnsi="宋体" w:eastAsia="宋体" w:cs="宋体"/>
                <w:sz w:val="23"/>
                <w:szCs w:val="23"/>
              </w:rPr>
            </w:pPr>
            <w:r>
              <w:rPr>
                <w:rFonts w:ascii="宋体" w:hAnsi="宋体" w:eastAsia="宋体" w:cs="宋体"/>
                <w:spacing w:val="-9"/>
                <w:sz w:val="23"/>
                <w:szCs w:val="23"/>
              </w:rPr>
              <w:t>电</w:t>
            </w:r>
            <w:r>
              <w:rPr>
                <w:rFonts w:ascii="宋体" w:hAnsi="宋体" w:eastAsia="宋体" w:cs="宋体"/>
                <w:spacing w:val="-8"/>
                <w:sz w:val="23"/>
                <w:szCs w:val="23"/>
              </w:rPr>
              <w:t>力表连续计量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9" w:hRule="atLeast"/>
        </w:trPr>
        <w:tc>
          <w:tcPr>
            <w:tcW w:w="2389" w:type="dxa"/>
            <w:vAlign w:val="top"/>
          </w:tcPr>
          <w:p>
            <w:pPr>
              <w:spacing w:before="108" w:line="227" w:lineRule="auto"/>
              <w:ind w:left="754"/>
              <w:rPr>
                <w:rFonts w:ascii="宋体" w:hAnsi="宋体" w:eastAsia="宋体" w:cs="宋体"/>
                <w:sz w:val="23"/>
                <w:szCs w:val="23"/>
              </w:rPr>
            </w:pPr>
            <w:r>
              <w:rPr>
                <w:rFonts w:ascii="宋体" w:hAnsi="宋体" w:eastAsia="宋体" w:cs="宋体"/>
                <w:spacing w:val="-3"/>
                <w:sz w:val="23"/>
                <w:szCs w:val="23"/>
              </w:rPr>
              <w:t>监测频次</w:t>
            </w:r>
          </w:p>
        </w:tc>
        <w:tc>
          <w:tcPr>
            <w:tcW w:w="5919" w:type="dxa"/>
            <w:vAlign w:val="top"/>
          </w:tcPr>
          <w:p>
            <w:pPr>
              <w:spacing w:before="108" w:line="228" w:lineRule="auto"/>
              <w:ind w:left="2514"/>
              <w:rPr>
                <w:rFonts w:ascii="宋体" w:hAnsi="宋体" w:eastAsia="宋体" w:cs="宋体"/>
                <w:sz w:val="23"/>
                <w:szCs w:val="23"/>
              </w:rPr>
            </w:pPr>
            <w:r>
              <w:rPr>
                <w:rFonts w:ascii="宋体" w:hAnsi="宋体" w:eastAsia="宋体" w:cs="宋体"/>
                <w:spacing w:val="-3"/>
                <w:sz w:val="23"/>
                <w:szCs w:val="23"/>
              </w:rPr>
              <w:t>连续计量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2389" w:type="dxa"/>
            <w:vAlign w:val="top"/>
          </w:tcPr>
          <w:p>
            <w:pPr>
              <w:spacing w:before="107" w:line="227" w:lineRule="auto"/>
              <w:ind w:left="752"/>
              <w:rPr>
                <w:rFonts w:ascii="宋体" w:hAnsi="宋体" w:eastAsia="宋体" w:cs="宋体"/>
                <w:sz w:val="23"/>
                <w:szCs w:val="23"/>
              </w:rPr>
            </w:pPr>
            <w:r>
              <w:rPr>
                <w:rFonts w:ascii="宋体" w:hAnsi="宋体" w:eastAsia="宋体" w:cs="宋体"/>
                <w:spacing w:val="-4"/>
                <w:sz w:val="23"/>
                <w:szCs w:val="23"/>
              </w:rPr>
              <w:t>记</w:t>
            </w:r>
            <w:r>
              <w:rPr>
                <w:rFonts w:ascii="宋体" w:hAnsi="宋体" w:eastAsia="宋体" w:cs="宋体"/>
                <w:spacing w:val="-2"/>
                <w:sz w:val="23"/>
                <w:szCs w:val="23"/>
              </w:rPr>
              <w:t>录频次</w:t>
            </w:r>
          </w:p>
        </w:tc>
        <w:tc>
          <w:tcPr>
            <w:tcW w:w="5919" w:type="dxa"/>
            <w:vAlign w:val="top"/>
          </w:tcPr>
          <w:p>
            <w:pPr>
              <w:spacing w:before="107" w:line="227" w:lineRule="auto"/>
              <w:ind w:left="2513"/>
              <w:rPr>
                <w:rFonts w:ascii="宋体" w:hAnsi="宋体" w:eastAsia="宋体" w:cs="宋体"/>
                <w:sz w:val="23"/>
                <w:szCs w:val="23"/>
              </w:rPr>
            </w:pPr>
            <w:r>
              <w:rPr>
                <w:rFonts w:ascii="宋体" w:hAnsi="宋体" w:eastAsia="宋体" w:cs="宋体"/>
                <w:spacing w:val="-4"/>
                <w:sz w:val="23"/>
                <w:szCs w:val="23"/>
              </w:rPr>
              <w:t>每</w:t>
            </w:r>
            <w:r>
              <w:rPr>
                <w:rFonts w:ascii="宋体" w:hAnsi="宋体" w:eastAsia="宋体" w:cs="宋体"/>
                <w:spacing w:val="-3"/>
                <w:sz w:val="23"/>
                <w:szCs w:val="23"/>
              </w:rPr>
              <w:t>月</w:t>
            </w:r>
            <w:r>
              <w:rPr>
                <w:rFonts w:ascii="宋体" w:hAnsi="宋体" w:eastAsia="宋体" w:cs="宋体"/>
                <w:spacing w:val="-2"/>
                <w:sz w:val="23"/>
                <w:szCs w:val="23"/>
              </w:rPr>
              <w:t>汇总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2389" w:type="dxa"/>
            <w:vAlign w:val="top"/>
          </w:tcPr>
          <w:p>
            <w:pPr>
              <w:spacing w:before="107" w:line="228" w:lineRule="auto"/>
              <w:ind w:left="528"/>
              <w:rPr>
                <w:rFonts w:ascii="宋体" w:hAnsi="宋体" w:eastAsia="宋体" w:cs="宋体"/>
                <w:sz w:val="23"/>
                <w:szCs w:val="23"/>
              </w:rPr>
            </w:pPr>
            <w:r>
              <w:rPr>
                <w:rFonts w:ascii="宋体" w:hAnsi="宋体" w:eastAsia="宋体" w:cs="宋体"/>
                <w:spacing w:val="-6"/>
                <w:sz w:val="23"/>
                <w:szCs w:val="23"/>
              </w:rPr>
              <w:t>监</w:t>
            </w:r>
            <w:r>
              <w:rPr>
                <w:rFonts w:ascii="宋体" w:hAnsi="宋体" w:eastAsia="宋体" w:cs="宋体"/>
                <w:spacing w:val="-4"/>
                <w:sz w:val="23"/>
                <w:szCs w:val="23"/>
              </w:rPr>
              <w:t>测设备维护</w:t>
            </w:r>
          </w:p>
        </w:tc>
        <w:tc>
          <w:tcPr>
            <w:tcW w:w="5919" w:type="dxa"/>
            <w:vAlign w:val="center"/>
          </w:tcPr>
          <w:p>
            <w:pPr>
              <w:pStyle w:val="17"/>
              <w:bidi w:val="0"/>
              <w:jc w:val="center"/>
              <w:rPr>
                <w:rFonts w:ascii="宋体" w:hAnsi="宋体" w:eastAsia="宋体" w:cs="宋体"/>
                <w:sz w:val="23"/>
                <w:szCs w:val="23"/>
              </w:rPr>
            </w:pPr>
            <w:r>
              <w:rPr>
                <w:rFonts w:hint="eastAsia" w:ascii="宋体" w:hAnsi="宋体" w:cs="宋体"/>
                <w:spacing w:val="-6"/>
                <w:sz w:val="23"/>
                <w:szCs w:val="23"/>
                <w:lang w:val="en-US" w:eastAsia="zh-CN"/>
              </w:rPr>
              <w:t>秀洲区供电局</w:t>
            </w:r>
            <w:r>
              <w:rPr>
                <w:rFonts w:ascii="宋体" w:hAnsi="宋体" w:eastAsia="宋体" w:cs="宋体"/>
                <w:spacing w:val="-3"/>
                <w:sz w:val="23"/>
                <w:szCs w:val="23"/>
              </w:rPr>
              <w:t>定期校准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389" w:type="dxa"/>
            <w:vAlign w:val="top"/>
          </w:tcPr>
          <w:p>
            <w:pPr>
              <w:spacing w:before="108" w:line="227" w:lineRule="auto"/>
              <w:ind w:left="529"/>
              <w:rPr>
                <w:rFonts w:ascii="宋体" w:hAnsi="宋体" w:eastAsia="宋体" w:cs="宋体"/>
                <w:sz w:val="23"/>
                <w:szCs w:val="23"/>
              </w:rPr>
            </w:pPr>
            <w:r>
              <w:rPr>
                <w:rFonts w:ascii="宋体" w:hAnsi="宋体" w:eastAsia="宋体" w:cs="宋体"/>
                <w:spacing w:val="-7"/>
                <w:sz w:val="23"/>
                <w:szCs w:val="23"/>
              </w:rPr>
              <w:t>数</w:t>
            </w:r>
            <w:r>
              <w:rPr>
                <w:rFonts w:ascii="宋体" w:hAnsi="宋体" w:eastAsia="宋体" w:cs="宋体"/>
                <w:spacing w:val="-4"/>
                <w:sz w:val="23"/>
                <w:szCs w:val="23"/>
              </w:rPr>
              <w:t>据缺失处理</w:t>
            </w:r>
          </w:p>
        </w:tc>
        <w:tc>
          <w:tcPr>
            <w:tcW w:w="5919" w:type="dxa"/>
            <w:vAlign w:val="top"/>
          </w:tcPr>
          <w:p>
            <w:pPr>
              <w:spacing w:before="107" w:line="226" w:lineRule="auto"/>
              <w:ind w:left="1842"/>
              <w:rPr>
                <w:rFonts w:ascii="宋体" w:hAnsi="宋体" w:eastAsia="宋体" w:cs="宋体"/>
                <w:sz w:val="23"/>
                <w:szCs w:val="23"/>
              </w:rPr>
            </w:pPr>
            <w:r>
              <w:rPr>
                <w:rFonts w:ascii="宋体" w:hAnsi="宋体" w:eastAsia="宋体" w:cs="宋体"/>
                <w:spacing w:val="-8"/>
                <w:sz w:val="23"/>
                <w:szCs w:val="23"/>
              </w:rPr>
              <w:t>本报</w:t>
            </w:r>
            <w:r>
              <w:rPr>
                <w:rFonts w:ascii="宋体" w:hAnsi="宋体" w:eastAsia="宋体" w:cs="宋体"/>
                <w:spacing w:val="-4"/>
                <w:sz w:val="23"/>
                <w:szCs w:val="23"/>
              </w:rPr>
              <w:t>告期内无数据缺失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389" w:type="dxa"/>
            <w:vAlign w:val="top"/>
          </w:tcPr>
          <w:p>
            <w:pPr>
              <w:spacing w:before="109" w:line="227" w:lineRule="auto"/>
              <w:ind w:left="752"/>
              <w:rPr>
                <w:rFonts w:ascii="宋体" w:hAnsi="宋体" w:eastAsia="宋体" w:cs="宋体"/>
                <w:sz w:val="23"/>
                <w:szCs w:val="23"/>
              </w:rPr>
            </w:pPr>
            <w:r>
              <w:rPr>
                <w:rFonts w:ascii="宋体" w:hAnsi="宋体" w:eastAsia="宋体" w:cs="宋体"/>
                <w:spacing w:val="-4"/>
                <w:sz w:val="23"/>
                <w:szCs w:val="23"/>
              </w:rPr>
              <w:t>抽</w:t>
            </w:r>
            <w:r>
              <w:rPr>
                <w:rFonts w:ascii="宋体" w:hAnsi="宋体" w:eastAsia="宋体" w:cs="宋体"/>
                <w:spacing w:val="-2"/>
                <w:sz w:val="23"/>
                <w:szCs w:val="23"/>
              </w:rPr>
              <w:t>样检查</w:t>
            </w:r>
          </w:p>
        </w:tc>
        <w:tc>
          <w:tcPr>
            <w:tcW w:w="5919" w:type="dxa"/>
            <w:vAlign w:val="top"/>
          </w:tcPr>
          <w:p>
            <w:pPr>
              <w:spacing w:before="109" w:line="227" w:lineRule="auto"/>
              <w:ind w:left="1282"/>
              <w:rPr>
                <w:rFonts w:ascii="宋体" w:hAnsi="宋体" w:eastAsia="宋体" w:cs="宋体"/>
                <w:sz w:val="23"/>
                <w:szCs w:val="23"/>
              </w:rPr>
            </w:pPr>
            <w:r>
              <w:rPr>
                <w:rFonts w:ascii="宋体" w:hAnsi="宋体" w:eastAsia="宋体" w:cs="宋体"/>
                <w:spacing w:val="-8"/>
                <w:sz w:val="23"/>
                <w:szCs w:val="23"/>
              </w:rPr>
              <w:t>填报</w:t>
            </w:r>
            <w:r>
              <w:rPr>
                <w:rFonts w:ascii="宋体" w:hAnsi="宋体" w:eastAsia="宋体" w:cs="宋体"/>
                <w:spacing w:val="-6"/>
                <w:sz w:val="23"/>
                <w:szCs w:val="23"/>
              </w:rPr>
              <w:t>数</w:t>
            </w:r>
            <w:r>
              <w:rPr>
                <w:rFonts w:ascii="宋体" w:hAnsi="宋体" w:eastAsia="宋体" w:cs="宋体"/>
                <w:spacing w:val="-4"/>
                <w:sz w:val="23"/>
                <w:szCs w:val="23"/>
              </w:rPr>
              <w:t>据、交叉核对数据100%核对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9" w:hRule="atLeast"/>
        </w:trPr>
        <w:tc>
          <w:tcPr>
            <w:tcW w:w="2389"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28" w:lineRule="auto"/>
              <w:ind w:left="757"/>
              <w:rPr>
                <w:rFonts w:ascii="宋体" w:hAnsi="宋体" w:eastAsia="宋体" w:cs="宋体"/>
                <w:sz w:val="23"/>
                <w:szCs w:val="23"/>
              </w:rPr>
            </w:pPr>
            <w:r>
              <w:rPr>
                <w:rFonts w:ascii="宋体" w:hAnsi="宋体" w:eastAsia="宋体" w:cs="宋体"/>
                <w:spacing w:val="-4"/>
                <w:sz w:val="23"/>
                <w:szCs w:val="23"/>
              </w:rPr>
              <w:t>交叉核对</w:t>
            </w:r>
          </w:p>
        </w:tc>
        <w:tc>
          <w:tcPr>
            <w:tcW w:w="5919" w:type="dxa"/>
            <w:vAlign w:val="top"/>
          </w:tcPr>
          <w:p>
            <w:pPr>
              <w:spacing w:before="313" w:line="250" w:lineRule="auto"/>
              <w:ind w:left="7" w:firstLine="12"/>
              <w:rPr>
                <w:rFonts w:ascii="宋体" w:hAnsi="宋体" w:eastAsia="宋体" w:cs="宋体"/>
                <w:sz w:val="23"/>
                <w:szCs w:val="23"/>
              </w:rPr>
            </w:pPr>
            <w:r>
              <w:rPr>
                <w:rFonts w:ascii="宋体" w:hAnsi="宋体" w:eastAsia="宋体" w:cs="宋体"/>
                <w:spacing w:val="-5"/>
                <w:sz w:val="23"/>
                <w:szCs w:val="23"/>
              </w:rPr>
              <w:t>(</w:t>
            </w:r>
            <w:r>
              <w:rPr>
                <w:rFonts w:ascii="宋体" w:hAnsi="宋体" w:eastAsia="宋体" w:cs="宋体"/>
                <w:spacing w:val="-3"/>
                <w:sz w:val="23"/>
                <w:szCs w:val="23"/>
              </w:rPr>
              <w:t>1) 受核查方填报数据来源于《能源购进、消费与库存》</w:t>
            </w:r>
            <w:r>
              <w:rPr>
                <w:rFonts w:hint="eastAsia" w:ascii="宋体" w:hAnsi="宋体" w:eastAsia="宋体" w:cs="宋体"/>
                <w:spacing w:val="-3"/>
                <w:sz w:val="23"/>
                <w:szCs w:val="23"/>
                <w:lang w:eastAsia="zh-CN"/>
              </w:rPr>
              <w:t>，</w:t>
            </w:r>
            <w:r>
              <w:rPr>
                <w:rFonts w:ascii="宋体" w:hAnsi="宋体" w:eastAsia="宋体" w:cs="宋体"/>
                <w:sz w:val="23"/>
                <w:szCs w:val="23"/>
              </w:rPr>
              <w:t xml:space="preserve"> </w:t>
            </w:r>
            <w:r>
              <w:rPr>
                <w:rFonts w:ascii="宋体" w:hAnsi="宋体" w:eastAsia="宋体" w:cs="宋体"/>
                <w:spacing w:val="12"/>
                <w:sz w:val="23"/>
                <w:szCs w:val="23"/>
              </w:rPr>
              <w:t>检</w:t>
            </w:r>
            <w:r>
              <w:rPr>
                <w:rFonts w:ascii="宋体" w:hAnsi="宋体" w:eastAsia="宋体" w:cs="宋体"/>
                <w:spacing w:val="6"/>
                <w:sz w:val="23"/>
                <w:szCs w:val="23"/>
              </w:rPr>
              <w:t>查组确认《能源购进、消费与库存》中电力全年消耗量</w:t>
            </w:r>
            <w:r>
              <w:rPr>
                <w:rFonts w:ascii="宋体" w:hAnsi="宋体" w:eastAsia="宋体" w:cs="宋体"/>
                <w:sz w:val="23"/>
                <w:szCs w:val="23"/>
              </w:rPr>
              <w:t xml:space="preserve"> </w:t>
            </w:r>
            <w:r>
              <w:rPr>
                <w:rFonts w:hint="eastAsia" w:ascii="宋体" w:hAnsi="宋体" w:eastAsia="宋体" w:cs="宋体"/>
                <w:sz w:val="23"/>
                <w:szCs w:val="23"/>
                <w:highlight w:val="none"/>
                <w:shd w:val="clear" w:fill="FFFFFF" w:themeFill="background1"/>
                <w:lang w:val="en-US" w:eastAsia="zh-CN"/>
              </w:rPr>
              <w:t>1033.48</w:t>
            </w:r>
            <w:r>
              <w:rPr>
                <w:rFonts w:ascii="宋体" w:hAnsi="宋体" w:eastAsia="宋体" w:cs="宋体"/>
                <w:spacing w:val="-2"/>
                <w:sz w:val="23"/>
                <w:szCs w:val="23"/>
              </w:rPr>
              <w:t>万千瓦时。受核查方又提供《</w:t>
            </w:r>
            <w:r>
              <w:rPr>
                <w:rFonts w:hint="eastAsia" w:ascii="宋体" w:hAnsi="宋体" w:eastAsia="宋体" w:cs="宋体"/>
                <w:spacing w:val="-2"/>
                <w:sz w:val="23"/>
                <w:szCs w:val="23"/>
                <w:lang w:eastAsia="zh-CN"/>
              </w:rPr>
              <w:t>2022</w:t>
            </w:r>
            <w:r>
              <w:rPr>
                <w:rFonts w:ascii="宋体" w:hAnsi="宋体" w:eastAsia="宋体" w:cs="宋体"/>
                <w:spacing w:val="-2"/>
                <w:sz w:val="23"/>
                <w:szCs w:val="23"/>
              </w:rPr>
              <w:t>年能源消耗统计</w:t>
            </w:r>
            <w:r>
              <w:rPr>
                <w:rFonts w:ascii="宋体" w:hAnsi="宋体" w:eastAsia="宋体" w:cs="宋体"/>
                <w:spacing w:val="-4"/>
                <w:sz w:val="23"/>
                <w:szCs w:val="23"/>
              </w:rPr>
              <w:t>表》。《</w:t>
            </w:r>
            <w:r>
              <w:rPr>
                <w:rFonts w:hint="eastAsia" w:ascii="宋体" w:hAnsi="宋体" w:eastAsia="宋体" w:cs="宋体"/>
                <w:spacing w:val="-4"/>
                <w:sz w:val="23"/>
                <w:szCs w:val="23"/>
                <w:lang w:eastAsia="zh-CN"/>
              </w:rPr>
              <w:t>2022</w:t>
            </w:r>
            <w:r>
              <w:rPr>
                <w:rFonts w:ascii="宋体" w:hAnsi="宋体" w:eastAsia="宋体" w:cs="宋体"/>
                <w:spacing w:val="-4"/>
                <w:sz w:val="23"/>
                <w:szCs w:val="23"/>
              </w:rPr>
              <w:t>年</w:t>
            </w:r>
            <w:r>
              <w:rPr>
                <w:rFonts w:ascii="宋体" w:hAnsi="宋体" w:eastAsia="宋体" w:cs="宋体"/>
                <w:spacing w:val="-2"/>
                <w:sz w:val="23"/>
                <w:szCs w:val="23"/>
              </w:rPr>
              <w:t>能源消耗统计表》为内部抄表数据。核查组</w:t>
            </w:r>
            <w:r>
              <w:rPr>
                <w:rFonts w:ascii="宋体" w:hAnsi="宋体" w:eastAsia="宋体" w:cs="宋体"/>
                <w:spacing w:val="-4"/>
                <w:sz w:val="23"/>
                <w:szCs w:val="23"/>
              </w:rPr>
              <w:t>查看《</w:t>
            </w:r>
            <w:r>
              <w:rPr>
                <w:rFonts w:hint="eastAsia" w:ascii="宋体" w:hAnsi="宋体" w:eastAsia="宋体" w:cs="宋体"/>
                <w:spacing w:val="-4"/>
                <w:sz w:val="23"/>
                <w:szCs w:val="23"/>
                <w:lang w:eastAsia="zh-CN"/>
              </w:rPr>
              <w:t>2022</w:t>
            </w:r>
            <w:r>
              <w:rPr>
                <w:rFonts w:ascii="宋体" w:hAnsi="宋体" w:eastAsia="宋体" w:cs="宋体"/>
                <w:spacing w:val="-2"/>
                <w:sz w:val="23"/>
                <w:szCs w:val="23"/>
              </w:rPr>
              <w:t>年能源消耗统计表》电力消耗量全年</w:t>
            </w:r>
            <w:r>
              <w:rPr>
                <w:rFonts w:hint="eastAsia" w:ascii="宋体" w:hAnsi="宋体" w:eastAsia="宋体" w:cs="宋体"/>
                <w:sz w:val="23"/>
                <w:szCs w:val="23"/>
                <w:highlight w:val="none"/>
                <w:lang w:val="en-US" w:eastAsia="zh-CN"/>
              </w:rPr>
              <w:t>1033.48</w:t>
            </w:r>
            <w:r>
              <w:rPr>
                <w:rFonts w:ascii="宋体" w:hAnsi="宋体" w:eastAsia="宋体" w:cs="宋体"/>
                <w:spacing w:val="-2"/>
                <w:sz w:val="23"/>
                <w:szCs w:val="23"/>
              </w:rPr>
              <w:t>万</w:t>
            </w:r>
            <w:r>
              <w:rPr>
                <w:rFonts w:ascii="宋体" w:hAnsi="宋体" w:eastAsia="宋体" w:cs="宋体"/>
                <w:spacing w:val="-4"/>
                <w:sz w:val="23"/>
                <w:szCs w:val="23"/>
              </w:rPr>
              <w:t>千</w:t>
            </w:r>
            <w:r>
              <w:rPr>
                <w:rFonts w:ascii="宋体" w:hAnsi="宋体" w:eastAsia="宋体" w:cs="宋体"/>
                <w:spacing w:val="-3"/>
                <w:sz w:val="23"/>
                <w:szCs w:val="23"/>
              </w:rPr>
              <w:t>瓦</w:t>
            </w:r>
            <w:r>
              <w:rPr>
                <w:rFonts w:ascii="宋体" w:hAnsi="宋体" w:eastAsia="宋体" w:cs="宋体"/>
                <w:spacing w:val="-2"/>
                <w:sz w:val="23"/>
                <w:szCs w:val="23"/>
              </w:rPr>
              <w:t>时。</w:t>
            </w:r>
          </w:p>
          <w:p>
            <w:pPr>
              <w:spacing w:line="259" w:lineRule="auto"/>
              <w:ind w:left="11" w:firstLine="3"/>
              <w:rPr>
                <w:rFonts w:ascii="宋体" w:hAnsi="宋体" w:eastAsia="宋体" w:cs="宋体"/>
                <w:sz w:val="23"/>
                <w:szCs w:val="23"/>
              </w:rPr>
            </w:pPr>
            <w:r>
              <w:rPr>
                <w:rFonts w:ascii="宋体" w:hAnsi="宋体" w:eastAsia="宋体" w:cs="宋体"/>
                <w:spacing w:val="-3"/>
                <w:sz w:val="23"/>
                <w:szCs w:val="23"/>
              </w:rPr>
              <w:t>《能源购进、消费与库存》数据与《</w:t>
            </w:r>
            <w:r>
              <w:rPr>
                <w:rFonts w:hint="eastAsia" w:ascii="宋体" w:hAnsi="宋体" w:eastAsia="宋体" w:cs="宋体"/>
                <w:spacing w:val="-3"/>
                <w:sz w:val="23"/>
                <w:szCs w:val="23"/>
                <w:lang w:eastAsia="zh-CN"/>
              </w:rPr>
              <w:t>2022</w:t>
            </w:r>
            <w:r>
              <w:rPr>
                <w:rFonts w:ascii="宋体" w:hAnsi="宋体" w:eastAsia="宋体" w:cs="宋体"/>
                <w:spacing w:val="-3"/>
                <w:sz w:val="23"/>
                <w:szCs w:val="23"/>
              </w:rPr>
              <w:t>年能源消耗统计</w:t>
            </w:r>
            <w:r>
              <w:rPr>
                <w:rFonts w:ascii="宋体" w:hAnsi="宋体" w:eastAsia="宋体" w:cs="宋体"/>
                <w:sz w:val="23"/>
                <w:szCs w:val="23"/>
              </w:rPr>
              <w:t xml:space="preserve">表 </w:t>
            </w:r>
            <w:r>
              <w:rPr>
                <w:rFonts w:ascii="宋体" w:hAnsi="宋体" w:eastAsia="宋体" w:cs="宋体"/>
                <w:spacing w:val="-4"/>
                <w:sz w:val="23"/>
                <w:szCs w:val="23"/>
              </w:rPr>
              <w:t>》电力消耗量一致。确认</w:t>
            </w:r>
            <w:r>
              <w:rPr>
                <w:rFonts w:ascii="宋体" w:hAnsi="宋体" w:eastAsia="宋体" w:cs="宋体"/>
                <w:spacing w:val="-2"/>
                <w:sz w:val="23"/>
                <w:szCs w:val="23"/>
              </w:rPr>
              <w:t>《</w:t>
            </w:r>
            <w:r>
              <w:rPr>
                <w:rFonts w:hint="eastAsia" w:ascii="宋体" w:hAnsi="宋体" w:eastAsia="宋体" w:cs="宋体"/>
                <w:spacing w:val="-2"/>
                <w:sz w:val="23"/>
                <w:szCs w:val="23"/>
                <w:lang w:eastAsia="zh-CN"/>
              </w:rPr>
              <w:t>2022</w:t>
            </w:r>
            <w:r>
              <w:rPr>
                <w:rFonts w:ascii="宋体" w:hAnsi="宋体" w:eastAsia="宋体" w:cs="宋体"/>
                <w:spacing w:val="-2"/>
                <w:sz w:val="23"/>
                <w:szCs w:val="23"/>
              </w:rPr>
              <w:t>年能源消耗统计表》可信。</w:t>
            </w:r>
            <w:r>
              <w:rPr>
                <w:rFonts w:ascii="宋体" w:hAnsi="宋体" w:eastAsia="宋体" w:cs="宋体"/>
                <w:sz w:val="23"/>
                <w:szCs w:val="23"/>
              </w:rPr>
              <w:t xml:space="preserve"> </w:t>
            </w:r>
            <w:r>
              <w:rPr>
                <w:rFonts w:ascii="宋体" w:hAnsi="宋体" w:eastAsia="宋体" w:cs="宋体"/>
                <w:spacing w:val="-10"/>
                <w:sz w:val="23"/>
                <w:szCs w:val="23"/>
              </w:rPr>
              <w:t>核查</w:t>
            </w:r>
            <w:r>
              <w:rPr>
                <w:rFonts w:ascii="宋体" w:hAnsi="宋体" w:eastAsia="宋体" w:cs="宋体"/>
                <w:spacing w:val="-8"/>
                <w:sz w:val="23"/>
                <w:szCs w:val="23"/>
              </w:rPr>
              <w:t>数</w:t>
            </w:r>
            <w:r>
              <w:rPr>
                <w:rFonts w:ascii="宋体" w:hAnsi="宋体" w:eastAsia="宋体" w:cs="宋体"/>
                <w:spacing w:val="-5"/>
                <w:sz w:val="23"/>
                <w:szCs w:val="23"/>
              </w:rPr>
              <w:t>据确认以《</w:t>
            </w:r>
            <w:r>
              <w:rPr>
                <w:rFonts w:hint="eastAsia" w:ascii="宋体" w:hAnsi="宋体" w:eastAsia="宋体" w:cs="宋体"/>
                <w:spacing w:val="-5"/>
                <w:sz w:val="23"/>
                <w:szCs w:val="23"/>
                <w:lang w:eastAsia="zh-CN"/>
              </w:rPr>
              <w:t>2022</w:t>
            </w:r>
            <w:r>
              <w:rPr>
                <w:rFonts w:ascii="宋体" w:hAnsi="宋体" w:eastAsia="宋体" w:cs="宋体"/>
                <w:spacing w:val="-5"/>
                <w:sz w:val="23"/>
                <w:szCs w:val="23"/>
              </w:rPr>
              <w:t>年能源消耗统计表》消耗量为准。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6" w:hRule="atLeast"/>
        </w:trPr>
        <w:tc>
          <w:tcPr>
            <w:tcW w:w="2389" w:type="dxa"/>
            <w:vAlign w:val="center"/>
          </w:tcPr>
          <w:p>
            <w:pPr>
              <w:pStyle w:val="17"/>
              <w:bidi w:val="0"/>
            </w:pPr>
            <w:r>
              <w:t>核查结论</w:t>
            </w:r>
          </w:p>
        </w:tc>
        <w:tc>
          <w:tcPr>
            <w:tcW w:w="5919" w:type="dxa"/>
            <w:vAlign w:val="center"/>
          </w:tcPr>
          <w:p>
            <w:pPr>
              <w:pStyle w:val="17"/>
              <w:bidi w:val="0"/>
              <w:jc w:val="both"/>
            </w:pPr>
            <w:r>
              <w:t>《排放报告》填报数据与核查数据偏差为0%，核查组确认受核查方填报数据可信，认可受核查方填报数据作为排放报告 终版数据。具体数据如下表所示。</w:t>
            </w:r>
          </w:p>
        </w:tc>
      </w:tr>
    </w:tbl>
    <w:p>
      <w:pPr>
        <w:spacing w:line="26" w:lineRule="exact"/>
      </w:pPr>
    </w:p>
    <w:p>
      <w:pPr>
        <w:pStyle w:val="5"/>
        <w:bidi w:val="0"/>
      </w:pPr>
      <w:bookmarkStart w:id="46" w:name="_bookmark24"/>
      <w:bookmarkEnd w:id="46"/>
      <w:bookmarkStart w:id="47" w:name="_Toc27929"/>
      <w:r>
        <w:t>3.4.2排放因子和计算系数数据及来源的核查</w:t>
      </w:r>
      <w:bookmarkEnd w:id="47"/>
    </w:p>
    <w:p>
      <w:pPr>
        <w:pStyle w:val="6"/>
        <w:bidi w:val="0"/>
      </w:pPr>
      <w:r>
        <w:t>3.4.2.1净购入电力的排放因子和计算系数</w:t>
      </w:r>
    </w:p>
    <w:p>
      <w:pPr>
        <w:spacing w:line="185" w:lineRule="exact"/>
      </w:pPr>
    </w:p>
    <w:tbl>
      <w:tblPr>
        <w:tblStyle w:val="16"/>
        <w:tblW w:w="8315" w:type="dxa"/>
        <w:tblInd w:w="1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32"/>
        <w:gridCol w:w="3076"/>
        <w:gridCol w:w="34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832" w:type="dxa"/>
            <w:vAlign w:val="top"/>
          </w:tcPr>
          <w:p>
            <w:pPr>
              <w:spacing w:before="109" w:line="227" w:lineRule="auto"/>
              <w:ind w:left="476"/>
              <w:rPr>
                <w:rFonts w:ascii="宋体" w:hAnsi="宋体" w:eastAsia="宋体" w:cs="宋体"/>
                <w:sz w:val="23"/>
                <w:szCs w:val="23"/>
              </w:rPr>
            </w:pPr>
            <w:r>
              <w:rPr>
                <w:rFonts w:ascii="宋体" w:hAnsi="宋体" w:eastAsia="宋体" w:cs="宋体"/>
                <w:spacing w:val="-4"/>
                <w:sz w:val="23"/>
                <w:szCs w:val="23"/>
              </w:rPr>
              <w:t>参</w:t>
            </w:r>
            <w:r>
              <w:rPr>
                <w:rFonts w:ascii="宋体" w:hAnsi="宋体" w:eastAsia="宋体" w:cs="宋体"/>
                <w:spacing w:val="-3"/>
                <w:sz w:val="23"/>
                <w:szCs w:val="23"/>
              </w:rPr>
              <w:t>数名称</w:t>
            </w:r>
          </w:p>
        </w:tc>
        <w:tc>
          <w:tcPr>
            <w:tcW w:w="6483" w:type="dxa"/>
            <w:gridSpan w:val="2"/>
            <w:vAlign w:val="top"/>
          </w:tcPr>
          <w:p>
            <w:pPr>
              <w:spacing w:before="109" w:line="227" w:lineRule="auto"/>
              <w:ind w:left="2486"/>
              <w:rPr>
                <w:rFonts w:ascii="宋体" w:hAnsi="宋体" w:eastAsia="宋体" w:cs="宋体"/>
                <w:sz w:val="23"/>
                <w:szCs w:val="23"/>
              </w:rPr>
            </w:pPr>
            <w:r>
              <w:rPr>
                <w:rFonts w:ascii="宋体" w:hAnsi="宋体" w:eastAsia="宋体" w:cs="宋体"/>
                <w:spacing w:val="-9"/>
                <w:sz w:val="23"/>
                <w:szCs w:val="23"/>
              </w:rPr>
              <w:t>电</w:t>
            </w:r>
            <w:r>
              <w:rPr>
                <w:rFonts w:ascii="宋体" w:hAnsi="宋体" w:eastAsia="宋体" w:cs="宋体"/>
                <w:spacing w:val="-8"/>
                <w:sz w:val="23"/>
                <w:szCs w:val="23"/>
              </w:rPr>
              <w:t>力的排放因子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832" w:type="dxa"/>
            <w:vMerge w:val="restart"/>
            <w:tcBorders>
              <w:bottom w:val="nil"/>
            </w:tcBorders>
            <w:vAlign w:val="top"/>
          </w:tcPr>
          <w:p>
            <w:pPr>
              <w:spacing w:line="261" w:lineRule="auto"/>
              <w:rPr>
                <w:rFonts w:ascii="Arial"/>
                <w:sz w:val="21"/>
              </w:rPr>
            </w:pPr>
          </w:p>
          <w:p>
            <w:pPr>
              <w:spacing w:before="75" w:line="227" w:lineRule="auto"/>
              <w:ind w:left="699"/>
              <w:rPr>
                <w:rFonts w:ascii="宋体" w:hAnsi="宋体" w:eastAsia="宋体" w:cs="宋体"/>
                <w:sz w:val="23"/>
                <w:szCs w:val="23"/>
              </w:rPr>
            </w:pPr>
            <w:r>
              <w:rPr>
                <w:rFonts w:ascii="宋体" w:hAnsi="宋体" w:eastAsia="宋体" w:cs="宋体"/>
                <w:spacing w:val="-1"/>
                <w:sz w:val="23"/>
                <w:szCs w:val="23"/>
              </w:rPr>
              <w:t>数值</w:t>
            </w:r>
          </w:p>
        </w:tc>
        <w:tc>
          <w:tcPr>
            <w:tcW w:w="3076" w:type="dxa"/>
            <w:vAlign w:val="top"/>
          </w:tcPr>
          <w:p>
            <w:pPr>
              <w:spacing w:before="107" w:line="227" w:lineRule="auto"/>
              <w:ind w:left="427"/>
              <w:rPr>
                <w:rFonts w:ascii="宋体" w:hAnsi="宋体" w:eastAsia="宋体" w:cs="宋体"/>
                <w:sz w:val="23"/>
                <w:szCs w:val="23"/>
              </w:rPr>
            </w:pPr>
            <w:r>
              <w:rPr>
                <w:rFonts w:ascii="宋体" w:hAnsi="宋体" w:eastAsia="宋体" w:cs="宋体"/>
                <w:spacing w:val="-6"/>
                <w:sz w:val="23"/>
                <w:szCs w:val="23"/>
              </w:rPr>
              <w:t>填报数</w:t>
            </w:r>
            <w:r>
              <w:rPr>
                <w:rFonts w:ascii="宋体" w:hAnsi="宋体" w:eastAsia="宋体" w:cs="宋体"/>
                <w:spacing w:val="-5"/>
                <w:sz w:val="23"/>
                <w:szCs w:val="23"/>
              </w:rPr>
              <w:t>据</w:t>
            </w:r>
            <w:r>
              <w:rPr>
                <w:rFonts w:ascii="宋体" w:hAnsi="宋体" w:eastAsia="宋体" w:cs="宋体"/>
                <w:spacing w:val="-3"/>
                <w:sz w:val="23"/>
                <w:szCs w:val="23"/>
              </w:rPr>
              <w:t xml:space="preserve"> (tCO</w:t>
            </w:r>
            <w:r>
              <w:rPr>
                <w:rFonts w:ascii="宋体" w:hAnsi="宋体" w:eastAsia="宋体" w:cs="宋体"/>
                <w:spacing w:val="-3"/>
                <w:sz w:val="23"/>
                <w:szCs w:val="23"/>
                <w:vertAlign w:val="subscript"/>
              </w:rPr>
              <w:t>2</w:t>
            </w:r>
            <w:r>
              <w:rPr>
                <w:rFonts w:ascii="宋体" w:hAnsi="宋体" w:eastAsia="宋体" w:cs="宋体"/>
                <w:spacing w:val="-3"/>
                <w:sz w:val="23"/>
                <w:szCs w:val="23"/>
              </w:rPr>
              <w:t>/MWh)</w:t>
            </w:r>
          </w:p>
        </w:tc>
        <w:tc>
          <w:tcPr>
            <w:tcW w:w="3407" w:type="dxa"/>
            <w:vAlign w:val="top"/>
          </w:tcPr>
          <w:p>
            <w:pPr>
              <w:spacing w:before="107" w:line="227" w:lineRule="auto"/>
              <w:ind w:left="587"/>
              <w:rPr>
                <w:rFonts w:ascii="宋体" w:hAnsi="宋体" w:eastAsia="宋体" w:cs="宋体"/>
                <w:sz w:val="23"/>
                <w:szCs w:val="23"/>
              </w:rPr>
            </w:pPr>
            <w:r>
              <w:rPr>
                <w:rFonts w:ascii="宋体" w:hAnsi="宋体" w:eastAsia="宋体" w:cs="宋体"/>
                <w:spacing w:val="-6"/>
                <w:sz w:val="23"/>
                <w:szCs w:val="23"/>
              </w:rPr>
              <w:t>核查数</w:t>
            </w:r>
            <w:r>
              <w:rPr>
                <w:rFonts w:ascii="宋体" w:hAnsi="宋体" w:eastAsia="宋体" w:cs="宋体"/>
                <w:spacing w:val="-4"/>
                <w:sz w:val="23"/>
                <w:szCs w:val="23"/>
              </w:rPr>
              <w:t>据</w:t>
            </w:r>
            <w:r>
              <w:rPr>
                <w:rFonts w:ascii="宋体" w:hAnsi="宋体" w:eastAsia="宋体" w:cs="宋体"/>
                <w:spacing w:val="-3"/>
                <w:sz w:val="23"/>
                <w:szCs w:val="23"/>
              </w:rPr>
              <w:t xml:space="preserve"> (tCO</w:t>
            </w:r>
            <w:r>
              <w:rPr>
                <w:rFonts w:ascii="宋体" w:hAnsi="宋体" w:eastAsia="宋体" w:cs="宋体"/>
                <w:spacing w:val="-3"/>
                <w:sz w:val="23"/>
                <w:szCs w:val="23"/>
                <w:vertAlign w:val="subscript"/>
              </w:rPr>
              <w:t>2</w:t>
            </w:r>
            <w:r>
              <w:rPr>
                <w:rFonts w:ascii="宋体" w:hAnsi="宋体" w:eastAsia="宋体" w:cs="宋体"/>
                <w:spacing w:val="-3"/>
                <w:sz w:val="23"/>
                <w:szCs w:val="23"/>
              </w:rPr>
              <w:t>/MWh)</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1832" w:type="dxa"/>
            <w:vMerge w:val="continue"/>
            <w:tcBorders>
              <w:top w:val="nil"/>
            </w:tcBorders>
            <w:vAlign w:val="top"/>
          </w:tcPr>
          <w:p>
            <w:pPr>
              <w:rPr>
                <w:rFonts w:ascii="Arial"/>
                <w:sz w:val="21"/>
              </w:rPr>
            </w:pPr>
          </w:p>
        </w:tc>
        <w:tc>
          <w:tcPr>
            <w:tcW w:w="3076" w:type="dxa"/>
            <w:vAlign w:val="top"/>
          </w:tcPr>
          <w:p>
            <w:pPr>
              <w:spacing w:before="143" w:line="191" w:lineRule="auto"/>
              <w:ind w:left="1209"/>
              <w:rPr>
                <w:rFonts w:hint="default" w:ascii="宋体" w:hAnsi="宋体" w:eastAsia="宋体" w:cs="宋体"/>
                <w:sz w:val="23"/>
                <w:szCs w:val="23"/>
                <w:highlight w:val="none"/>
                <w:lang w:val="en-US" w:eastAsia="zh-CN"/>
              </w:rPr>
            </w:pPr>
            <w:r>
              <w:rPr>
                <w:rFonts w:ascii="宋体" w:hAnsi="宋体" w:eastAsia="宋体" w:cs="宋体"/>
                <w:spacing w:val="-4"/>
                <w:sz w:val="23"/>
                <w:szCs w:val="23"/>
              </w:rPr>
              <w:t>0.</w:t>
            </w:r>
            <w:r>
              <w:rPr>
                <w:rFonts w:hint="eastAsia" w:ascii="宋体" w:hAnsi="宋体" w:eastAsia="宋体" w:cs="宋体"/>
                <w:spacing w:val="-2"/>
                <w:sz w:val="23"/>
                <w:szCs w:val="23"/>
                <w:lang w:val="en-US" w:eastAsia="zh-CN"/>
              </w:rPr>
              <w:t>5703</w:t>
            </w:r>
          </w:p>
        </w:tc>
        <w:tc>
          <w:tcPr>
            <w:tcW w:w="3407" w:type="dxa"/>
            <w:vAlign w:val="top"/>
          </w:tcPr>
          <w:p>
            <w:pPr>
              <w:spacing w:before="143" w:line="191" w:lineRule="auto"/>
              <w:ind w:left="1371"/>
              <w:rPr>
                <w:rFonts w:hint="default" w:ascii="宋体" w:hAnsi="宋体" w:eastAsia="宋体" w:cs="宋体"/>
                <w:sz w:val="23"/>
                <w:szCs w:val="23"/>
                <w:highlight w:val="none"/>
                <w:lang w:val="en-US" w:eastAsia="zh-CN"/>
              </w:rPr>
            </w:pPr>
            <w:r>
              <w:rPr>
                <w:rFonts w:ascii="宋体" w:hAnsi="宋体" w:eastAsia="宋体" w:cs="宋体"/>
                <w:spacing w:val="-4"/>
                <w:sz w:val="23"/>
                <w:szCs w:val="23"/>
              </w:rPr>
              <w:t>0.</w:t>
            </w:r>
            <w:r>
              <w:rPr>
                <w:rFonts w:hint="eastAsia" w:ascii="宋体" w:hAnsi="宋体" w:eastAsia="宋体" w:cs="宋体"/>
                <w:spacing w:val="-2"/>
                <w:sz w:val="23"/>
                <w:szCs w:val="23"/>
                <w:lang w:val="en-US" w:eastAsia="zh-CN"/>
              </w:rPr>
              <w:t>5703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trPr>
        <w:tc>
          <w:tcPr>
            <w:tcW w:w="1832" w:type="dxa"/>
            <w:vAlign w:val="top"/>
          </w:tcPr>
          <w:p>
            <w:pPr>
              <w:spacing w:before="191" w:line="227" w:lineRule="auto"/>
              <w:ind w:left="476"/>
              <w:rPr>
                <w:rFonts w:ascii="宋体" w:hAnsi="宋体" w:eastAsia="宋体" w:cs="宋体"/>
                <w:sz w:val="23"/>
                <w:szCs w:val="23"/>
              </w:rPr>
            </w:pPr>
            <w:r>
              <w:rPr>
                <w:rFonts w:ascii="宋体" w:hAnsi="宋体" w:eastAsia="宋体" w:cs="宋体"/>
                <w:spacing w:val="-4"/>
                <w:sz w:val="23"/>
                <w:szCs w:val="23"/>
              </w:rPr>
              <w:t>数</w:t>
            </w:r>
            <w:r>
              <w:rPr>
                <w:rFonts w:ascii="宋体" w:hAnsi="宋体" w:eastAsia="宋体" w:cs="宋体"/>
                <w:spacing w:val="-3"/>
                <w:sz w:val="23"/>
                <w:szCs w:val="23"/>
              </w:rPr>
              <w:t>据来源</w:t>
            </w:r>
          </w:p>
        </w:tc>
        <w:tc>
          <w:tcPr>
            <w:tcW w:w="6483" w:type="dxa"/>
            <w:gridSpan w:val="2"/>
            <w:vAlign w:val="top"/>
          </w:tcPr>
          <w:p>
            <w:pPr>
              <w:spacing w:before="35" w:line="235" w:lineRule="auto"/>
              <w:ind w:left="7" w:firstLine="5"/>
              <w:rPr>
                <w:rFonts w:ascii="宋体" w:hAnsi="宋体" w:eastAsia="宋体" w:cs="宋体"/>
                <w:sz w:val="23"/>
                <w:szCs w:val="23"/>
              </w:rPr>
            </w:pPr>
            <w:r>
              <w:rPr>
                <w:rFonts w:hint="eastAsia" w:ascii="宋体" w:hAnsi="宋体" w:eastAsia="宋体" w:cs="宋体"/>
                <w:spacing w:val="-7"/>
                <w:sz w:val="23"/>
                <w:szCs w:val="23"/>
              </w:rPr>
              <w:t>《关于做好2023—2025年发电行业企业温室气体排放报告管理有关工作的通知》</w:t>
            </w:r>
            <w:r>
              <w:rPr>
                <w:rFonts w:hint="eastAsia" w:ascii="宋体" w:hAnsi="宋体" w:eastAsia="宋体" w:cs="宋体"/>
                <w:spacing w:val="-7"/>
                <w:sz w:val="23"/>
                <w:szCs w:val="23"/>
                <w:lang w:val="en-US" w:eastAsia="zh-CN"/>
              </w:rPr>
              <w:t>中</w:t>
            </w:r>
            <w:r>
              <w:rPr>
                <w:rFonts w:hint="eastAsia" w:ascii="宋体" w:hAnsi="宋体" w:eastAsia="宋体" w:cs="宋体"/>
                <w:spacing w:val="-7"/>
                <w:sz w:val="23"/>
                <w:szCs w:val="23"/>
              </w:rPr>
              <w:t>全国电网排放因子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1832" w:type="dxa"/>
            <w:vAlign w:val="top"/>
          </w:tcPr>
          <w:p>
            <w:pPr>
              <w:spacing w:line="270" w:lineRule="auto"/>
              <w:rPr>
                <w:rFonts w:ascii="Arial"/>
                <w:sz w:val="21"/>
              </w:rPr>
            </w:pPr>
          </w:p>
          <w:p>
            <w:pPr>
              <w:spacing w:before="75" w:line="228" w:lineRule="auto"/>
              <w:ind w:left="477"/>
              <w:rPr>
                <w:rFonts w:ascii="宋体" w:hAnsi="宋体" w:eastAsia="宋体" w:cs="宋体"/>
                <w:sz w:val="23"/>
                <w:szCs w:val="23"/>
              </w:rPr>
            </w:pPr>
            <w:r>
              <w:rPr>
                <w:rFonts w:ascii="宋体" w:hAnsi="宋体" w:eastAsia="宋体" w:cs="宋体"/>
                <w:spacing w:val="-5"/>
                <w:sz w:val="23"/>
                <w:szCs w:val="23"/>
              </w:rPr>
              <w:t>核</w:t>
            </w:r>
            <w:r>
              <w:rPr>
                <w:rFonts w:ascii="宋体" w:hAnsi="宋体" w:eastAsia="宋体" w:cs="宋体"/>
                <w:spacing w:val="-3"/>
                <w:sz w:val="23"/>
                <w:szCs w:val="23"/>
              </w:rPr>
              <w:t>查结论</w:t>
            </w:r>
          </w:p>
        </w:tc>
        <w:tc>
          <w:tcPr>
            <w:tcW w:w="6483" w:type="dxa"/>
            <w:gridSpan w:val="2"/>
            <w:vAlign w:val="top"/>
          </w:tcPr>
          <w:p>
            <w:pPr>
              <w:spacing w:before="38" w:line="265" w:lineRule="auto"/>
              <w:ind w:left="7" w:firstLine="4"/>
              <w:rPr>
                <w:rFonts w:ascii="宋体" w:hAnsi="宋体" w:eastAsia="宋体" w:cs="宋体"/>
                <w:sz w:val="23"/>
                <w:szCs w:val="23"/>
              </w:rPr>
            </w:pPr>
            <w:r>
              <w:rPr>
                <w:rFonts w:ascii="宋体" w:hAnsi="宋体" w:eastAsia="宋体" w:cs="宋体"/>
                <w:spacing w:val="1"/>
                <w:sz w:val="23"/>
                <w:szCs w:val="23"/>
              </w:rPr>
              <w:t>受核查方电力的排放因子来源于</w:t>
            </w:r>
            <w:r>
              <w:rPr>
                <w:rFonts w:hint="eastAsia" w:ascii="宋体" w:hAnsi="宋体" w:eastAsia="宋体" w:cs="宋体"/>
                <w:spacing w:val="1"/>
                <w:sz w:val="23"/>
                <w:szCs w:val="23"/>
              </w:rPr>
              <w:t>《关于做好2023—2025年发电行业企业温室气体排放报告管理有关工作的通知》中全国电网排放因子</w:t>
            </w:r>
            <w:r>
              <w:rPr>
                <w:rFonts w:ascii="宋体" w:hAnsi="宋体" w:eastAsia="宋体" w:cs="宋体"/>
                <w:spacing w:val="-7"/>
                <w:sz w:val="23"/>
                <w:szCs w:val="23"/>
              </w:rPr>
              <w:t>，经现场核查确认受核查方使用数据符合指南要</w:t>
            </w:r>
            <w:r>
              <w:rPr>
                <w:rFonts w:ascii="宋体" w:hAnsi="宋体" w:eastAsia="宋体" w:cs="宋体"/>
                <w:spacing w:val="-4"/>
                <w:sz w:val="23"/>
                <w:szCs w:val="23"/>
              </w:rPr>
              <w:t>求</w:t>
            </w:r>
            <w:r>
              <w:rPr>
                <w:rFonts w:ascii="宋体" w:hAnsi="宋体" w:eastAsia="宋体" w:cs="宋体"/>
                <w:position w:val="1"/>
                <w:sz w:val="23"/>
                <w:szCs w:val="23"/>
              </w:rPr>
              <w:t>。</w:t>
            </w:r>
          </w:p>
        </w:tc>
      </w:tr>
    </w:tbl>
    <w:p>
      <w:pPr>
        <w:pStyle w:val="5"/>
        <w:bidi w:val="0"/>
      </w:pPr>
      <w:bookmarkStart w:id="48" w:name="_bookmark25"/>
      <w:bookmarkEnd w:id="48"/>
      <w:bookmarkStart w:id="49" w:name="_Toc23759"/>
      <w:r>
        <w:t>3.4.3法人边界排放量的核查</w:t>
      </w:r>
      <w:bookmarkEnd w:id="49"/>
    </w:p>
    <w:p>
      <w:pPr>
        <w:pStyle w:val="8"/>
        <w:bidi w:val="0"/>
      </w:pPr>
      <w:r>
        <w:t>根据上述确认的活动水平数据及排放因子，核查组重新计算了受核 查方的温室气体排放量，结果如下：</w:t>
      </w:r>
    </w:p>
    <w:p>
      <w:pPr>
        <w:pStyle w:val="6"/>
        <w:bidi w:val="0"/>
      </w:pPr>
      <w:r>
        <w:t>3.4.3.1燃料燃烧排放</w:t>
      </w:r>
    </w:p>
    <w:p>
      <w:pPr>
        <w:pStyle w:val="8"/>
        <w:bidi w:val="0"/>
      </w:pPr>
      <w:r>
        <w:t>核查组确认，受核查方</w:t>
      </w:r>
      <w:r>
        <w:rPr>
          <w:rFonts w:hint="eastAsia"/>
          <w:lang w:val="en-US" w:eastAsia="zh-CN"/>
        </w:rPr>
        <w:t>天然气、汽油、柴油</w:t>
      </w:r>
      <w:r>
        <w:t>使用产生的CO</w:t>
      </w:r>
      <w:r>
        <w:rPr>
          <w:vertAlign w:val="subscript"/>
        </w:rPr>
        <w:t>2</w:t>
      </w:r>
      <w:r>
        <w:t>排放</w:t>
      </w:r>
      <w:r>
        <w:rPr>
          <w:rFonts w:hint="eastAsia"/>
          <w:lang w:val="en-US" w:eastAsia="zh-CN"/>
        </w:rPr>
        <w:t>量为</w:t>
      </w:r>
      <w:r>
        <w:rPr>
          <w:rFonts w:hint="eastAsia"/>
          <w:highlight w:val="none"/>
          <w:lang w:val="en-US" w:eastAsia="zh-CN"/>
        </w:rPr>
        <w:t>101.696</w:t>
      </w:r>
      <w:r>
        <w:rPr>
          <w:rFonts w:hint="eastAsia"/>
          <w:lang w:val="en-US" w:eastAsia="zh-CN"/>
        </w:rPr>
        <w:t>吨</w:t>
      </w:r>
    </w:p>
    <w:p>
      <w:pPr>
        <w:pStyle w:val="6"/>
        <w:bidi w:val="0"/>
      </w:pPr>
      <w:r>
        <w:t>3.4.3.2工业生产过程排放</w:t>
      </w:r>
    </w:p>
    <w:p>
      <w:pPr>
        <w:pStyle w:val="8"/>
        <w:bidi w:val="0"/>
      </w:pPr>
      <w:r>
        <w:t>(1) 原材料消耗产生的CO</w:t>
      </w:r>
      <w:r>
        <w:rPr>
          <w:vertAlign w:val="subscript"/>
        </w:rPr>
        <w:t>2</w:t>
      </w:r>
      <w:r>
        <w:t>排放</w:t>
      </w:r>
    </w:p>
    <w:p>
      <w:pPr>
        <w:pStyle w:val="8"/>
        <w:bidi w:val="0"/>
      </w:pPr>
      <w:r>
        <w:t>核查组确认，受核查方</w:t>
      </w:r>
      <w:r>
        <w:rPr>
          <w:rFonts w:hint="eastAsia"/>
          <w:lang w:val="en-US" w:eastAsia="zh-CN"/>
        </w:rPr>
        <w:t>不存在生产过程中</w:t>
      </w:r>
      <w:r>
        <w:t>CO</w:t>
      </w:r>
      <w:r>
        <w:rPr>
          <w:vertAlign w:val="subscript"/>
        </w:rPr>
        <w:t>2</w:t>
      </w:r>
      <w:r>
        <w:t xml:space="preserve">排放。 </w:t>
      </w:r>
    </w:p>
    <w:p>
      <w:pPr>
        <w:pStyle w:val="8"/>
        <w:bidi w:val="0"/>
      </w:pPr>
      <w:r>
        <w:t>(2) 碳酸盐使用过程产生的CO</w:t>
      </w:r>
      <w:r>
        <w:rPr>
          <w:vertAlign w:val="subscript"/>
        </w:rPr>
        <w:t>2</w:t>
      </w:r>
      <w:r>
        <w:t>排放</w:t>
      </w:r>
    </w:p>
    <w:p>
      <w:pPr>
        <w:pStyle w:val="8"/>
        <w:bidi w:val="0"/>
      </w:pPr>
      <w:r>
        <w:t>核查组确认，受核查方不存在碳酸盐使用过程过CO</w:t>
      </w:r>
      <w:r>
        <w:rPr>
          <w:vertAlign w:val="subscript"/>
        </w:rPr>
        <w:t>2</w:t>
      </w:r>
      <w:r>
        <w:t>排放。</w:t>
      </w:r>
    </w:p>
    <w:p>
      <w:pPr>
        <w:pStyle w:val="6"/>
        <w:bidi w:val="0"/>
      </w:pPr>
      <w:r>
        <w:t>3.4.3.3 CO</w:t>
      </w:r>
      <w:r>
        <w:rPr>
          <w:vertAlign w:val="subscript"/>
        </w:rPr>
        <w:t>2</w:t>
      </w:r>
      <w:r>
        <w:t>回收利用量</w:t>
      </w:r>
    </w:p>
    <w:p>
      <w:pPr>
        <w:pStyle w:val="8"/>
        <w:bidi w:val="0"/>
      </w:pPr>
      <w:r>
        <w:t>企业生产过程中没有二氧化碳的产生，所以经核查组确认，受核查方不存在CO</w:t>
      </w:r>
      <w:r>
        <w:rPr>
          <w:vertAlign w:val="subscript"/>
        </w:rPr>
        <w:t>2</w:t>
      </w:r>
      <w:r>
        <w:t xml:space="preserve"> 回收利用。</w:t>
      </w:r>
    </w:p>
    <w:p>
      <w:pPr>
        <w:pStyle w:val="6"/>
        <w:bidi w:val="0"/>
      </w:pPr>
      <w:r>
        <w:t>3.4.3.4净购入电力消费引起的CO</w:t>
      </w:r>
      <w:r>
        <w:rPr>
          <w:vertAlign w:val="subscript"/>
        </w:rPr>
        <w:t>2</w:t>
      </w:r>
      <w:r>
        <w:t>排放</w:t>
      </w:r>
    </w:p>
    <w:p>
      <w:pPr>
        <w:pStyle w:val="6"/>
        <w:bidi w:val="0"/>
        <w:sectPr>
          <w:headerReference r:id="rId12" w:type="default"/>
          <w:footerReference r:id="rId13" w:type="default"/>
          <w:pgSz w:w="11906" w:h="16840"/>
          <w:pgMar w:top="1171" w:right="1785" w:bottom="1025" w:left="1783" w:header="901" w:footer="852" w:gutter="0"/>
          <w:pgNumType w:fmt="decimal"/>
          <w:cols w:space="720" w:num="1"/>
        </w:sectPr>
      </w:pPr>
    </w:p>
    <w:p>
      <w:pPr>
        <w:pStyle w:val="7"/>
        <w:bidi w:val="0"/>
      </w:pPr>
      <w:r>
        <w:t>表3-8 核查确认的净购入电力消费引起的CO</w:t>
      </w:r>
      <w:r>
        <w:rPr>
          <w:vertAlign w:val="subscript"/>
        </w:rPr>
        <w:t>2</w:t>
      </w:r>
      <w:r>
        <w:t>排放量</w:t>
      </w:r>
    </w:p>
    <w:p>
      <w:pPr>
        <w:spacing w:line="151" w:lineRule="exact"/>
      </w:pPr>
    </w:p>
    <w:tbl>
      <w:tblPr>
        <w:tblStyle w:val="16"/>
        <w:tblW w:w="8312" w:type="dxa"/>
        <w:tblInd w:w="1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15"/>
        <w:gridCol w:w="1587"/>
        <w:gridCol w:w="2694"/>
        <w:gridCol w:w="1413"/>
        <w:gridCol w:w="150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trPr>
        <w:tc>
          <w:tcPr>
            <w:tcW w:w="1115" w:type="dxa"/>
            <w:vMerge w:val="restart"/>
            <w:tcBorders>
              <w:bottom w:val="nil"/>
            </w:tcBorders>
            <w:vAlign w:val="top"/>
          </w:tcPr>
          <w:p>
            <w:pPr>
              <w:spacing w:line="371" w:lineRule="auto"/>
              <w:rPr>
                <w:rFonts w:ascii="Arial"/>
                <w:sz w:val="21"/>
              </w:rPr>
            </w:pPr>
          </w:p>
          <w:p>
            <w:pPr>
              <w:spacing w:before="75" w:line="227" w:lineRule="auto"/>
              <w:ind w:left="339"/>
              <w:rPr>
                <w:rFonts w:ascii="宋体" w:hAnsi="宋体" w:eastAsia="宋体" w:cs="宋体"/>
                <w:sz w:val="23"/>
                <w:szCs w:val="23"/>
              </w:rPr>
            </w:pPr>
            <w:r>
              <w:rPr>
                <w:rFonts w:ascii="宋体" w:hAnsi="宋体" w:eastAsia="宋体" w:cs="宋体"/>
                <w:sz w:val="23"/>
                <w:szCs w:val="23"/>
              </w:rPr>
              <w:t>种类</w:t>
            </w:r>
          </w:p>
        </w:tc>
        <w:tc>
          <w:tcPr>
            <w:tcW w:w="1587" w:type="dxa"/>
            <w:vAlign w:val="top"/>
          </w:tcPr>
          <w:p>
            <w:pPr>
              <w:spacing w:before="59" w:line="228" w:lineRule="auto"/>
              <w:ind w:left="353"/>
              <w:rPr>
                <w:rFonts w:ascii="宋体" w:hAnsi="宋体" w:eastAsia="宋体" w:cs="宋体"/>
                <w:sz w:val="23"/>
                <w:szCs w:val="23"/>
              </w:rPr>
            </w:pPr>
            <w:r>
              <w:rPr>
                <w:rFonts w:ascii="宋体" w:hAnsi="宋体" w:eastAsia="宋体" w:cs="宋体"/>
                <w:spacing w:val="-5"/>
                <w:sz w:val="23"/>
                <w:szCs w:val="23"/>
              </w:rPr>
              <w:t>净</w:t>
            </w:r>
            <w:r>
              <w:rPr>
                <w:rFonts w:ascii="宋体" w:hAnsi="宋体" w:eastAsia="宋体" w:cs="宋体"/>
                <w:spacing w:val="-3"/>
                <w:sz w:val="23"/>
                <w:szCs w:val="23"/>
              </w:rPr>
              <w:t>购入量</w:t>
            </w:r>
          </w:p>
          <w:p>
            <w:pPr>
              <w:spacing w:before="28" w:line="230" w:lineRule="auto"/>
              <w:ind w:left="560"/>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0"/>
                <w:sz w:val="23"/>
                <w:szCs w:val="23"/>
              </w:rPr>
              <w:t>MWh)</w:t>
            </w:r>
          </w:p>
        </w:tc>
        <w:tc>
          <w:tcPr>
            <w:tcW w:w="2694" w:type="dxa"/>
            <w:vAlign w:val="top"/>
          </w:tcPr>
          <w:p>
            <w:pPr>
              <w:spacing w:before="60" w:line="225" w:lineRule="auto"/>
              <w:ind w:left="318"/>
              <w:rPr>
                <w:rFonts w:ascii="宋体" w:hAnsi="宋体" w:eastAsia="宋体" w:cs="宋体"/>
                <w:sz w:val="23"/>
                <w:szCs w:val="23"/>
              </w:rPr>
            </w:pPr>
            <w:r>
              <w:rPr>
                <w:rFonts w:ascii="宋体" w:hAnsi="宋体" w:eastAsia="宋体" w:cs="宋体"/>
                <w:spacing w:val="-6"/>
                <w:sz w:val="23"/>
                <w:szCs w:val="23"/>
              </w:rPr>
              <w:t>排放</w:t>
            </w:r>
            <w:r>
              <w:rPr>
                <w:rFonts w:ascii="宋体" w:hAnsi="宋体" w:eastAsia="宋体" w:cs="宋体"/>
                <w:spacing w:val="-4"/>
                <w:sz w:val="23"/>
                <w:szCs w:val="23"/>
              </w:rPr>
              <w:t>因</w:t>
            </w:r>
            <w:r>
              <w:rPr>
                <w:rFonts w:ascii="宋体" w:hAnsi="宋体" w:eastAsia="宋体" w:cs="宋体"/>
                <w:spacing w:val="-3"/>
                <w:sz w:val="23"/>
                <w:szCs w:val="23"/>
              </w:rPr>
              <w:t>子(tCO</w:t>
            </w:r>
            <w:r>
              <w:rPr>
                <w:rFonts w:ascii="宋体" w:hAnsi="宋体" w:eastAsia="宋体" w:cs="宋体"/>
                <w:spacing w:val="-3"/>
                <w:position w:val="-3"/>
                <w:sz w:val="11"/>
                <w:szCs w:val="11"/>
              </w:rPr>
              <w:t>2</w:t>
            </w:r>
            <w:r>
              <w:rPr>
                <w:rFonts w:ascii="宋体" w:hAnsi="宋体" w:eastAsia="宋体" w:cs="宋体"/>
                <w:spacing w:val="-3"/>
                <w:sz w:val="23"/>
                <w:szCs w:val="23"/>
              </w:rPr>
              <w:t>/MWh或</w:t>
            </w:r>
          </w:p>
          <w:p>
            <w:pPr>
              <w:spacing w:before="31" w:line="223" w:lineRule="auto"/>
              <w:ind w:left="941"/>
              <w:rPr>
                <w:rFonts w:ascii="宋体" w:hAnsi="宋体" w:eastAsia="宋体" w:cs="宋体"/>
                <w:sz w:val="23"/>
                <w:szCs w:val="23"/>
              </w:rPr>
            </w:pPr>
            <w:r>
              <w:rPr>
                <w:rFonts w:ascii="宋体" w:hAnsi="宋体" w:eastAsia="宋体" w:cs="宋体"/>
                <w:spacing w:val="-3"/>
                <w:sz w:val="23"/>
                <w:szCs w:val="23"/>
              </w:rPr>
              <w:t>tCO</w:t>
            </w:r>
            <w:r>
              <w:rPr>
                <w:rFonts w:ascii="宋体" w:hAnsi="宋体" w:eastAsia="宋体" w:cs="宋体"/>
                <w:spacing w:val="-3"/>
                <w:position w:val="-3"/>
                <w:sz w:val="11"/>
                <w:szCs w:val="11"/>
              </w:rPr>
              <w:t>2</w:t>
            </w:r>
            <w:r>
              <w:rPr>
                <w:rFonts w:ascii="宋体" w:hAnsi="宋体" w:eastAsia="宋体" w:cs="宋体"/>
                <w:spacing w:val="-3"/>
                <w:sz w:val="23"/>
                <w:szCs w:val="23"/>
              </w:rPr>
              <w:t>/GJ)</w:t>
            </w:r>
          </w:p>
        </w:tc>
        <w:tc>
          <w:tcPr>
            <w:tcW w:w="1413" w:type="dxa"/>
            <w:vAlign w:val="top"/>
          </w:tcPr>
          <w:p>
            <w:pPr>
              <w:spacing w:before="59" w:line="312" w:lineRule="exact"/>
              <w:ind w:left="379"/>
              <w:rPr>
                <w:rFonts w:ascii="宋体" w:hAnsi="宋体" w:eastAsia="宋体" w:cs="宋体"/>
                <w:sz w:val="23"/>
                <w:szCs w:val="23"/>
              </w:rPr>
            </w:pPr>
            <w:r>
              <w:rPr>
                <w:rFonts w:ascii="宋体" w:hAnsi="宋体" w:eastAsia="宋体" w:cs="宋体"/>
                <w:spacing w:val="-3"/>
                <w:position w:val="5"/>
                <w:sz w:val="23"/>
                <w:szCs w:val="23"/>
              </w:rPr>
              <w:t>排</w:t>
            </w:r>
            <w:r>
              <w:rPr>
                <w:rFonts w:ascii="宋体" w:hAnsi="宋体" w:eastAsia="宋体" w:cs="宋体"/>
                <w:spacing w:val="-2"/>
                <w:position w:val="5"/>
                <w:sz w:val="23"/>
                <w:szCs w:val="23"/>
              </w:rPr>
              <w:t>放量</w:t>
            </w:r>
          </w:p>
          <w:p>
            <w:pPr>
              <w:spacing w:line="223" w:lineRule="auto"/>
              <w:ind w:left="30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z w:val="23"/>
                <w:szCs w:val="23"/>
              </w:rPr>
              <w:t>tCO</w:t>
            </w:r>
            <w:r>
              <w:rPr>
                <w:rFonts w:ascii="宋体" w:hAnsi="宋体" w:eastAsia="宋体" w:cs="宋体"/>
                <w:spacing w:val="14"/>
                <w:position w:val="-3"/>
                <w:sz w:val="11"/>
                <w:szCs w:val="11"/>
              </w:rPr>
              <w:t xml:space="preserve">2 </w:t>
            </w:r>
            <w:r>
              <w:rPr>
                <w:rFonts w:ascii="宋体" w:hAnsi="宋体" w:eastAsia="宋体" w:cs="宋体"/>
                <w:spacing w:val="13"/>
                <w:sz w:val="23"/>
                <w:szCs w:val="23"/>
              </w:rPr>
              <w:t>)</w:t>
            </w:r>
          </w:p>
        </w:tc>
        <w:tc>
          <w:tcPr>
            <w:tcW w:w="1503" w:type="dxa"/>
            <w:vMerge w:val="restart"/>
            <w:tcBorders>
              <w:bottom w:val="nil"/>
            </w:tcBorders>
            <w:vAlign w:val="top"/>
          </w:tcPr>
          <w:p>
            <w:pPr>
              <w:spacing w:before="292" w:line="312" w:lineRule="exact"/>
              <w:ind w:left="537"/>
              <w:rPr>
                <w:rFonts w:ascii="宋体" w:hAnsi="宋体" w:eastAsia="宋体" w:cs="宋体"/>
                <w:sz w:val="23"/>
                <w:szCs w:val="23"/>
              </w:rPr>
            </w:pPr>
            <w:r>
              <w:rPr>
                <w:rFonts w:ascii="宋体" w:hAnsi="宋体" w:eastAsia="宋体" w:cs="宋体"/>
                <w:spacing w:val="-1"/>
                <w:position w:val="5"/>
                <w:sz w:val="23"/>
                <w:szCs w:val="23"/>
              </w:rPr>
              <w:t>合</w:t>
            </w:r>
            <w:r>
              <w:rPr>
                <w:rFonts w:ascii="宋体" w:hAnsi="宋体" w:eastAsia="宋体" w:cs="宋体"/>
                <w:position w:val="5"/>
                <w:sz w:val="23"/>
                <w:szCs w:val="23"/>
              </w:rPr>
              <w:t>计</w:t>
            </w:r>
          </w:p>
          <w:p>
            <w:pPr>
              <w:spacing w:line="223" w:lineRule="auto"/>
              <w:ind w:left="353"/>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z w:val="23"/>
                <w:szCs w:val="23"/>
              </w:rPr>
              <w:t>tCO</w:t>
            </w:r>
            <w:r>
              <w:rPr>
                <w:rFonts w:ascii="宋体" w:hAnsi="宋体" w:eastAsia="宋体" w:cs="宋体"/>
                <w:spacing w:val="14"/>
                <w:position w:val="-3"/>
                <w:sz w:val="11"/>
                <w:szCs w:val="11"/>
              </w:rPr>
              <w:t xml:space="preserve">2 </w:t>
            </w:r>
            <w:r>
              <w:rPr>
                <w:rFonts w:ascii="宋体" w:hAnsi="宋体" w:eastAsia="宋体" w:cs="宋体"/>
                <w:spacing w:val="13"/>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15" w:type="dxa"/>
            <w:vMerge w:val="continue"/>
            <w:tcBorders>
              <w:top w:val="nil"/>
            </w:tcBorders>
            <w:vAlign w:val="top"/>
          </w:tcPr>
          <w:p>
            <w:pPr>
              <w:rPr>
                <w:rFonts w:ascii="Arial"/>
                <w:sz w:val="21"/>
              </w:rPr>
            </w:pPr>
          </w:p>
        </w:tc>
        <w:tc>
          <w:tcPr>
            <w:tcW w:w="1587" w:type="dxa"/>
            <w:vAlign w:val="top"/>
          </w:tcPr>
          <w:p>
            <w:pPr>
              <w:spacing w:before="141" w:line="193" w:lineRule="auto"/>
              <w:ind w:left="734"/>
              <w:rPr>
                <w:rFonts w:ascii="宋体" w:hAnsi="宋体" w:eastAsia="宋体" w:cs="宋体"/>
                <w:sz w:val="23"/>
                <w:szCs w:val="23"/>
              </w:rPr>
            </w:pPr>
            <w:r>
              <w:rPr>
                <w:rFonts w:ascii="宋体" w:hAnsi="宋体" w:eastAsia="宋体" w:cs="宋体"/>
                <w:spacing w:val="3"/>
                <w:sz w:val="23"/>
                <w:szCs w:val="23"/>
              </w:rPr>
              <w:t>A</w:t>
            </w:r>
          </w:p>
        </w:tc>
        <w:tc>
          <w:tcPr>
            <w:tcW w:w="2694" w:type="dxa"/>
            <w:vAlign w:val="top"/>
          </w:tcPr>
          <w:p>
            <w:pPr>
              <w:spacing w:before="145" w:line="190" w:lineRule="auto"/>
              <w:ind w:left="1292"/>
              <w:rPr>
                <w:rFonts w:ascii="宋体" w:hAnsi="宋体" w:eastAsia="宋体" w:cs="宋体"/>
                <w:sz w:val="23"/>
                <w:szCs w:val="23"/>
              </w:rPr>
            </w:pPr>
            <w:r>
              <w:rPr>
                <w:rFonts w:ascii="宋体" w:hAnsi="宋体" w:eastAsia="宋体" w:cs="宋体"/>
                <w:spacing w:val="1"/>
                <w:sz w:val="23"/>
                <w:szCs w:val="23"/>
              </w:rPr>
              <w:t>B</w:t>
            </w:r>
          </w:p>
        </w:tc>
        <w:tc>
          <w:tcPr>
            <w:tcW w:w="1413" w:type="dxa"/>
            <w:vAlign w:val="top"/>
          </w:tcPr>
          <w:p>
            <w:pPr>
              <w:spacing w:before="105" w:line="309" w:lineRule="exact"/>
              <w:ind w:left="433"/>
              <w:rPr>
                <w:rFonts w:ascii="宋体" w:hAnsi="宋体" w:eastAsia="宋体" w:cs="宋体"/>
                <w:sz w:val="23"/>
                <w:szCs w:val="23"/>
              </w:rPr>
            </w:pPr>
            <w:r>
              <w:rPr>
                <w:rFonts w:ascii="宋体" w:hAnsi="宋体" w:eastAsia="宋体" w:cs="宋体"/>
                <w:spacing w:val="-2"/>
                <w:position w:val="1"/>
                <w:sz w:val="23"/>
                <w:szCs w:val="23"/>
              </w:rPr>
              <w:t>C=A*B</w:t>
            </w:r>
          </w:p>
        </w:tc>
        <w:tc>
          <w:tcPr>
            <w:tcW w:w="1503"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1115" w:type="dxa"/>
            <w:vAlign w:val="top"/>
          </w:tcPr>
          <w:p>
            <w:pPr>
              <w:spacing w:before="190" w:line="227" w:lineRule="auto"/>
              <w:ind w:left="367"/>
              <w:rPr>
                <w:rFonts w:ascii="宋体" w:hAnsi="宋体" w:eastAsia="宋体" w:cs="宋体"/>
                <w:sz w:val="23"/>
                <w:szCs w:val="23"/>
              </w:rPr>
            </w:pPr>
            <w:r>
              <w:rPr>
                <w:rFonts w:ascii="宋体" w:hAnsi="宋体" w:eastAsia="宋体" w:cs="宋体"/>
                <w:spacing w:val="-15"/>
                <w:sz w:val="23"/>
                <w:szCs w:val="23"/>
              </w:rPr>
              <w:t>电</w:t>
            </w:r>
            <w:r>
              <w:rPr>
                <w:rFonts w:ascii="宋体" w:hAnsi="宋体" w:eastAsia="宋体" w:cs="宋体"/>
                <w:spacing w:val="-13"/>
                <w:sz w:val="23"/>
                <w:szCs w:val="23"/>
              </w:rPr>
              <w:t>力</w:t>
            </w:r>
          </w:p>
        </w:tc>
        <w:tc>
          <w:tcPr>
            <w:tcW w:w="1587" w:type="dxa"/>
            <w:vAlign w:val="top"/>
          </w:tcPr>
          <w:p>
            <w:pPr>
              <w:spacing w:before="226" w:line="191" w:lineRule="auto"/>
              <w:ind w:left="336"/>
              <w:rPr>
                <w:rFonts w:hint="default" w:ascii="宋体" w:hAnsi="宋体" w:eastAsia="宋体" w:cs="宋体"/>
                <w:sz w:val="23"/>
                <w:szCs w:val="23"/>
                <w:highlight w:val="none"/>
                <w:lang w:val="en-US" w:eastAsia="zh-CN"/>
              </w:rPr>
            </w:pPr>
            <w:r>
              <w:rPr>
                <w:rFonts w:hint="eastAsia" w:ascii="宋体" w:hAnsi="宋体" w:eastAsia="宋体" w:cs="宋体"/>
                <w:spacing w:val="2"/>
                <w:sz w:val="23"/>
                <w:szCs w:val="23"/>
                <w:highlight w:val="none"/>
                <w:lang w:val="en-US" w:eastAsia="zh-CN"/>
              </w:rPr>
              <w:t>6170</w:t>
            </w:r>
          </w:p>
        </w:tc>
        <w:tc>
          <w:tcPr>
            <w:tcW w:w="2694" w:type="dxa"/>
            <w:vAlign w:val="top"/>
          </w:tcPr>
          <w:p>
            <w:pPr>
              <w:spacing w:before="226" w:line="191" w:lineRule="auto"/>
              <w:ind w:left="1018"/>
              <w:rPr>
                <w:rFonts w:hint="default" w:ascii="宋体" w:hAnsi="宋体" w:eastAsia="宋体" w:cs="宋体"/>
                <w:sz w:val="23"/>
                <w:szCs w:val="23"/>
                <w:highlight w:val="none"/>
                <w:lang w:val="en-US" w:eastAsia="zh-CN"/>
              </w:rPr>
            </w:pPr>
            <w:r>
              <w:rPr>
                <w:rFonts w:hint="default" w:ascii="宋体" w:hAnsi="宋体" w:eastAsia="宋体" w:cs="宋体"/>
                <w:sz w:val="23"/>
                <w:szCs w:val="23"/>
                <w:highlight w:val="none"/>
                <w:lang w:val="en-US" w:eastAsia="zh-CN"/>
              </w:rPr>
              <w:t>0.</w:t>
            </w:r>
            <w:r>
              <w:rPr>
                <w:rFonts w:hint="eastAsia" w:ascii="宋体" w:hAnsi="宋体" w:eastAsia="宋体" w:cs="宋体"/>
                <w:sz w:val="23"/>
                <w:szCs w:val="23"/>
                <w:highlight w:val="none"/>
                <w:lang w:val="en-US" w:eastAsia="zh-CN"/>
              </w:rPr>
              <w:t>5</w:t>
            </w:r>
            <w:r>
              <w:rPr>
                <w:rFonts w:hint="default" w:ascii="宋体" w:hAnsi="宋体" w:eastAsia="宋体" w:cs="宋体"/>
                <w:sz w:val="23"/>
                <w:szCs w:val="23"/>
                <w:highlight w:val="none"/>
                <w:lang w:val="en-US" w:eastAsia="zh-CN"/>
              </w:rPr>
              <w:t>703</w:t>
            </w:r>
          </w:p>
        </w:tc>
        <w:tc>
          <w:tcPr>
            <w:tcW w:w="1413" w:type="dxa"/>
            <w:vAlign w:val="center"/>
          </w:tcPr>
          <w:p>
            <w:pPr>
              <w:pStyle w:val="17"/>
              <w:bidi w:val="0"/>
              <w:jc w:val="center"/>
              <w:rPr>
                <w:rFonts w:hint="default"/>
                <w:highlight w:val="none"/>
                <w:lang w:val="en-US" w:eastAsia="zh-CN"/>
              </w:rPr>
            </w:pPr>
            <w:r>
              <w:rPr>
                <w:rFonts w:hint="eastAsia"/>
                <w:b w:val="0"/>
                <w:bCs w:val="0"/>
                <w:highlight w:val="none"/>
                <w:lang w:val="en-US" w:eastAsia="zh-CN"/>
              </w:rPr>
              <w:t>3518.751</w:t>
            </w:r>
          </w:p>
        </w:tc>
        <w:tc>
          <w:tcPr>
            <w:tcW w:w="1503" w:type="dxa"/>
            <w:vAlign w:val="center"/>
          </w:tcPr>
          <w:p>
            <w:pPr>
              <w:pStyle w:val="17"/>
              <w:bidi w:val="0"/>
              <w:jc w:val="center"/>
              <w:rPr>
                <w:highlight w:val="none"/>
              </w:rPr>
            </w:pPr>
            <w:r>
              <w:rPr>
                <w:rFonts w:hint="eastAsia"/>
                <w:b w:val="0"/>
                <w:bCs w:val="0"/>
                <w:highlight w:val="none"/>
                <w:lang w:val="en-US" w:eastAsia="zh-CN"/>
              </w:rPr>
              <w:t>3518.751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115" w:type="dxa"/>
            <w:vAlign w:val="top"/>
          </w:tcPr>
          <w:p>
            <w:pPr>
              <w:spacing w:before="191" w:line="229" w:lineRule="auto"/>
              <w:ind w:left="340"/>
              <w:rPr>
                <w:rFonts w:ascii="宋体" w:hAnsi="宋体" w:eastAsia="宋体" w:cs="宋体"/>
                <w:sz w:val="23"/>
                <w:szCs w:val="23"/>
              </w:rPr>
            </w:pPr>
            <w:r>
              <w:rPr>
                <w:rFonts w:ascii="宋体" w:hAnsi="宋体" w:eastAsia="宋体" w:cs="宋体"/>
                <w:spacing w:val="-1"/>
                <w:sz w:val="23"/>
                <w:szCs w:val="23"/>
              </w:rPr>
              <w:t>合</w:t>
            </w:r>
            <w:r>
              <w:rPr>
                <w:rFonts w:ascii="宋体" w:hAnsi="宋体" w:eastAsia="宋体" w:cs="宋体"/>
                <w:sz w:val="23"/>
                <w:szCs w:val="23"/>
              </w:rPr>
              <w:t>计</w:t>
            </w:r>
          </w:p>
        </w:tc>
        <w:tc>
          <w:tcPr>
            <w:tcW w:w="1587" w:type="dxa"/>
            <w:vAlign w:val="top"/>
          </w:tcPr>
          <w:p>
            <w:pPr>
              <w:spacing w:before="192" w:line="232" w:lineRule="auto"/>
              <w:ind w:left="740"/>
              <w:rPr>
                <w:rFonts w:ascii="宋体" w:hAnsi="宋体" w:eastAsia="宋体" w:cs="宋体"/>
                <w:sz w:val="23"/>
                <w:szCs w:val="23"/>
                <w:highlight w:val="none"/>
              </w:rPr>
            </w:pPr>
            <w:r>
              <w:rPr>
                <w:rFonts w:ascii="宋体" w:hAnsi="宋体" w:eastAsia="宋体" w:cs="宋体"/>
                <w:sz w:val="23"/>
                <w:szCs w:val="23"/>
                <w:highlight w:val="none"/>
              </w:rPr>
              <w:t>/</w:t>
            </w:r>
          </w:p>
        </w:tc>
        <w:tc>
          <w:tcPr>
            <w:tcW w:w="2694" w:type="dxa"/>
            <w:vAlign w:val="top"/>
          </w:tcPr>
          <w:p>
            <w:pPr>
              <w:spacing w:before="192" w:line="232" w:lineRule="auto"/>
              <w:ind w:left="1296"/>
              <w:rPr>
                <w:rFonts w:ascii="宋体" w:hAnsi="宋体" w:eastAsia="宋体" w:cs="宋体"/>
                <w:sz w:val="23"/>
                <w:szCs w:val="23"/>
                <w:highlight w:val="none"/>
              </w:rPr>
            </w:pPr>
            <w:r>
              <w:rPr>
                <w:rFonts w:ascii="宋体" w:hAnsi="宋体" w:eastAsia="宋体" w:cs="宋体"/>
                <w:sz w:val="23"/>
                <w:szCs w:val="23"/>
                <w:highlight w:val="none"/>
              </w:rPr>
              <w:t>/</w:t>
            </w:r>
          </w:p>
        </w:tc>
        <w:tc>
          <w:tcPr>
            <w:tcW w:w="1413" w:type="dxa"/>
            <w:vAlign w:val="center"/>
          </w:tcPr>
          <w:p>
            <w:pPr>
              <w:pStyle w:val="17"/>
              <w:bidi w:val="0"/>
              <w:jc w:val="center"/>
              <w:rPr>
                <w:highlight w:val="none"/>
              </w:rPr>
            </w:pPr>
            <w:r>
              <w:rPr>
                <w:rFonts w:hint="eastAsia"/>
                <w:b w:val="0"/>
                <w:bCs w:val="0"/>
                <w:highlight w:val="none"/>
                <w:lang w:val="en-US" w:eastAsia="zh-CN"/>
              </w:rPr>
              <w:t>3518.751</w:t>
            </w:r>
          </w:p>
        </w:tc>
        <w:tc>
          <w:tcPr>
            <w:tcW w:w="1503" w:type="dxa"/>
            <w:vAlign w:val="center"/>
          </w:tcPr>
          <w:p>
            <w:pPr>
              <w:pStyle w:val="17"/>
              <w:bidi w:val="0"/>
              <w:jc w:val="center"/>
              <w:rPr>
                <w:highlight w:val="none"/>
              </w:rPr>
            </w:pPr>
            <w:r>
              <w:rPr>
                <w:rFonts w:hint="eastAsia"/>
                <w:b w:val="0"/>
                <w:bCs w:val="0"/>
                <w:highlight w:val="none"/>
                <w:lang w:val="en-US" w:eastAsia="zh-CN"/>
              </w:rPr>
              <w:t>3518.751</w:t>
            </w:r>
          </w:p>
        </w:tc>
      </w:tr>
    </w:tbl>
    <w:p>
      <w:pPr>
        <w:pStyle w:val="6"/>
        <w:bidi w:val="0"/>
      </w:pPr>
      <w:r>
        <w:t>3.4.3.5温室气体排放量汇总</w:t>
      </w:r>
    </w:p>
    <w:p>
      <w:pPr>
        <w:pStyle w:val="7"/>
        <w:bidi w:val="0"/>
      </w:pPr>
      <w:r>
        <w:t>表3-9 核查确认的温室气体排放总量</w:t>
      </w:r>
    </w:p>
    <w:p>
      <w:pPr>
        <w:spacing w:line="146" w:lineRule="exact"/>
      </w:pPr>
    </w:p>
    <w:tbl>
      <w:tblPr>
        <w:tblStyle w:val="16"/>
        <w:tblW w:w="8302" w:type="dxa"/>
        <w:tblInd w:w="1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46"/>
        <w:gridCol w:w="1424"/>
        <w:gridCol w:w="1582"/>
        <w:gridCol w:w="1556"/>
        <w:gridCol w:w="139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trPr>
        <w:tc>
          <w:tcPr>
            <w:tcW w:w="2346" w:type="dxa"/>
            <w:vAlign w:val="top"/>
          </w:tcPr>
          <w:p>
            <w:pPr>
              <w:spacing w:before="243" w:line="227" w:lineRule="auto"/>
              <w:ind w:left="618"/>
              <w:rPr>
                <w:rFonts w:ascii="宋体" w:hAnsi="宋体" w:eastAsia="宋体" w:cs="宋体"/>
                <w:sz w:val="23"/>
                <w:szCs w:val="23"/>
              </w:rPr>
            </w:pPr>
            <w:r>
              <w:rPr>
                <w:rFonts w:ascii="宋体" w:hAnsi="宋体" w:eastAsia="宋体" w:cs="宋体"/>
                <w:spacing w:val="-6"/>
                <w:sz w:val="23"/>
                <w:szCs w:val="23"/>
              </w:rPr>
              <w:t>排</w:t>
            </w:r>
            <w:r>
              <w:rPr>
                <w:rFonts w:ascii="宋体" w:hAnsi="宋体" w:eastAsia="宋体" w:cs="宋体"/>
                <w:spacing w:val="-3"/>
                <w:sz w:val="23"/>
                <w:szCs w:val="23"/>
              </w:rPr>
              <w:t>放源类别</w:t>
            </w:r>
          </w:p>
        </w:tc>
        <w:tc>
          <w:tcPr>
            <w:tcW w:w="1424" w:type="dxa"/>
            <w:vAlign w:val="top"/>
          </w:tcPr>
          <w:p>
            <w:pPr>
              <w:spacing w:before="87" w:line="258" w:lineRule="auto"/>
              <w:ind w:left="214" w:right="21" w:hanging="167"/>
              <w:rPr>
                <w:rFonts w:ascii="宋体" w:hAnsi="宋体" w:eastAsia="宋体" w:cs="宋体"/>
                <w:sz w:val="23"/>
                <w:szCs w:val="23"/>
              </w:rPr>
            </w:pPr>
            <w:r>
              <w:rPr>
                <w:rFonts w:ascii="宋体" w:hAnsi="宋体" w:eastAsia="宋体" w:cs="宋体"/>
                <w:spacing w:val="-6"/>
                <w:sz w:val="23"/>
                <w:szCs w:val="23"/>
              </w:rPr>
              <w:t>温</w:t>
            </w:r>
            <w:r>
              <w:rPr>
                <w:rFonts w:ascii="宋体" w:hAnsi="宋体" w:eastAsia="宋体" w:cs="宋体"/>
                <w:spacing w:val="-5"/>
                <w:sz w:val="23"/>
                <w:szCs w:val="23"/>
              </w:rPr>
              <w:t>室气体本身</w:t>
            </w:r>
            <w:r>
              <w:rPr>
                <w:rFonts w:ascii="宋体" w:hAnsi="宋体" w:eastAsia="宋体" w:cs="宋体"/>
                <w:sz w:val="23"/>
                <w:szCs w:val="23"/>
              </w:rPr>
              <w:t xml:space="preserve"> </w:t>
            </w:r>
            <w:r>
              <w:rPr>
                <w:rFonts w:ascii="宋体" w:hAnsi="宋体" w:eastAsia="宋体" w:cs="宋体"/>
                <w:spacing w:val="-4"/>
                <w:sz w:val="23"/>
                <w:szCs w:val="23"/>
              </w:rPr>
              <w:t>质量 (t)</w:t>
            </w:r>
          </w:p>
        </w:tc>
        <w:tc>
          <w:tcPr>
            <w:tcW w:w="1582" w:type="dxa"/>
            <w:vAlign w:val="top"/>
          </w:tcPr>
          <w:p>
            <w:pPr>
              <w:spacing w:before="87" w:line="312" w:lineRule="exact"/>
              <w:ind w:left="434"/>
              <w:rPr>
                <w:rFonts w:ascii="宋体" w:hAnsi="宋体" w:eastAsia="宋体" w:cs="宋体"/>
                <w:sz w:val="23"/>
                <w:szCs w:val="23"/>
              </w:rPr>
            </w:pPr>
            <w:r>
              <w:rPr>
                <w:rFonts w:ascii="宋体" w:hAnsi="宋体" w:eastAsia="宋体" w:cs="宋体"/>
                <w:spacing w:val="-1"/>
                <w:position w:val="5"/>
                <w:sz w:val="23"/>
                <w:szCs w:val="23"/>
              </w:rPr>
              <w:t>CO</w:t>
            </w:r>
            <w:r>
              <w:rPr>
                <w:rFonts w:ascii="宋体" w:hAnsi="宋体" w:eastAsia="宋体" w:cs="宋体"/>
                <w:spacing w:val="-2"/>
                <w:position w:val="2"/>
                <w:sz w:val="11"/>
                <w:szCs w:val="11"/>
              </w:rPr>
              <w:t>2</w:t>
            </w:r>
            <w:r>
              <w:rPr>
                <w:rFonts w:ascii="宋体" w:hAnsi="宋体" w:eastAsia="宋体" w:cs="宋体"/>
                <w:spacing w:val="-2"/>
                <w:position w:val="5"/>
                <w:sz w:val="23"/>
                <w:szCs w:val="23"/>
              </w:rPr>
              <w:t>当</w:t>
            </w:r>
            <w:r>
              <w:rPr>
                <w:rFonts w:ascii="宋体" w:hAnsi="宋体" w:eastAsia="宋体" w:cs="宋体"/>
                <w:spacing w:val="-1"/>
                <w:position w:val="5"/>
                <w:sz w:val="23"/>
                <w:szCs w:val="23"/>
              </w:rPr>
              <w:t>量</w:t>
            </w:r>
          </w:p>
          <w:p>
            <w:pPr>
              <w:spacing w:line="223" w:lineRule="auto"/>
              <w:ind w:left="334"/>
              <w:rPr>
                <w:rFonts w:ascii="宋体" w:hAnsi="宋体" w:eastAsia="宋体" w:cs="宋体"/>
                <w:sz w:val="23"/>
                <w:szCs w:val="23"/>
              </w:rPr>
            </w:pPr>
            <w:r>
              <w:rPr>
                <w:rFonts w:ascii="宋体" w:hAnsi="宋体" w:eastAsia="宋体" w:cs="宋体"/>
                <w:spacing w:val="27"/>
                <w:sz w:val="23"/>
                <w:szCs w:val="23"/>
              </w:rPr>
              <w:t>(</w:t>
            </w:r>
            <w:r>
              <w:rPr>
                <w:rFonts w:ascii="宋体" w:hAnsi="宋体" w:eastAsia="宋体" w:cs="宋体"/>
                <w:sz w:val="23"/>
                <w:szCs w:val="23"/>
              </w:rPr>
              <w:t>tCO</w:t>
            </w:r>
            <w:r>
              <w:rPr>
                <w:rFonts w:ascii="宋体" w:hAnsi="宋体" w:eastAsia="宋体" w:cs="宋体"/>
                <w:spacing w:val="27"/>
                <w:position w:val="-3"/>
                <w:sz w:val="11"/>
                <w:szCs w:val="11"/>
              </w:rPr>
              <w:t>2</w:t>
            </w:r>
            <w:r>
              <w:rPr>
                <w:rFonts w:ascii="宋体" w:hAnsi="宋体" w:eastAsia="宋体" w:cs="宋体"/>
                <w:sz w:val="23"/>
                <w:szCs w:val="23"/>
              </w:rPr>
              <w:t>e</w:t>
            </w:r>
            <w:r>
              <w:rPr>
                <w:rFonts w:ascii="宋体" w:hAnsi="宋体" w:eastAsia="宋体" w:cs="宋体"/>
                <w:spacing w:val="27"/>
                <w:sz w:val="23"/>
                <w:szCs w:val="23"/>
              </w:rPr>
              <w:t>)</w:t>
            </w:r>
          </w:p>
        </w:tc>
        <w:tc>
          <w:tcPr>
            <w:tcW w:w="1556" w:type="dxa"/>
            <w:vAlign w:val="top"/>
          </w:tcPr>
          <w:p>
            <w:pPr>
              <w:spacing w:before="87" w:line="226" w:lineRule="auto"/>
              <w:ind w:left="223"/>
              <w:rPr>
                <w:rFonts w:ascii="宋体" w:hAnsi="宋体" w:eastAsia="宋体" w:cs="宋体"/>
                <w:sz w:val="23"/>
                <w:szCs w:val="23"/>
              </w:rPr>
            </w:pPr>
            <w:r>
              <w:rPr>
                <w:rFonts w:ascii="宋体" w:hAnsi="宋体" w:eastAsia="宋体" w:cs="宋体"/>
                <w:spacing w:val="-5"/>
                <w:sz w:val="23"/>
                <w:szCs w:val="23"/>
              </w:rPr>
              <w:t>初</w:t>
            </w:r>
            <w:r>
              <w:rPr>
                <w:rFonts w:ascii="宋体" w:hAnsi="宋体" w:eastAsia="宋体" w:cs="宋体"/>
                <w:spacing w:val="-3"/>
                <w:sz w:val="23"/>
                <w:szCs w:val="23"/>
              </w:rPr>
              <w:t>始报告值</w:t>
            </w:r>
          </w:p>
          <w:p>
            <w:pPr>
              <w:spacing w:before="31" w:line="223" w:lineRule="auto"/>
              <w:ind w:left="322"/>
              <w:rPr>
                <w:rFonts w:ascii="宋体" w:hAnsi="宋体" w:eastAsia="宋体" w:cs="宋体"/>
                <w:sz w:val="23"/>
                <w:szCs w:val="23"/>
              </w:rPr>
            </w:pPr>
            <w:r>
              <w:rPr>
                <w:rFonts w:ascii="宋体" w:hAnsi="宋体" w:eastAsia="宋体" w:cs="宋体"/>
                <w:spacing w:val="27"/>
                <w:sz w:val="23"/>
                <w:szCs w:val="23"/>
              </w:rPr>
              <w:t>(</w:t>
            </w:r>
            <w:r>
              <w:rPr>
                <w:rFonts w:ascii="宋体" w:hAnsi="宋体" w:eastAsia="宋体" w:cs="宋体"/>
                <w:sz w:val="23"/>
                <w:szCs w:val="23"/>
              </w:rPr>
              <w:t>tCO</w:t>
            </w:r>
            <w:r>
              <w:rPr>
                <w:rFonts w:ascii="宋体" w:hAnsi="宋体" w:eastAsia="宋体" w:cs="宋体"/>
                <w:spacing w:val="27"/>
                <w:position w:val="-3"/>
                <w:sz w:val="11"/>
                <w:szCs w:val="11"/>
              </w:rPr>
              <w:t>2</w:t>
            </w:r>
            <w:r>
              <w:rPr>
                <w:rFonts w:ascii="宋体" w:hAnsi="宋体" w:eastAsia="宋体" w:cs="宋体"/>
                <w:sz w:val="23"/>
                <w:szCs w:val="23"/>
              </w:rPr>
              <w:t>e</w:t>
            </w:r>
            <w:r>
              <w:rPr>
                <w:rFonts w:ascii="宋体" w:hAnsi="宋体" w:eastAsia="宋体" w:cs="宋体"/>
                <w:spacing w:val="27"/>
                <w:sz w:val="23"/>
                <w:szCs w:val="23"/>
              </w:rPr>
              <w:t>)</w:t>
            </w:r>
          </w:p>
        </w:tc>
        <w:tc>
          <w:tcPr>
            <w:tcW w:w="1394" w:type="dxa"/>
            <w:vAlign w:val="top"/>
          </w:tcPr>
          <w:p>
            <w:pPr>
              <w:spacing w:before="243" w:line="229" w:lineRule="auto"/>
              <w:ind w:left="370"/>
              <w:rPr>
                <w:rFonts w:ascii="宋体" w:hAnsi="宋体" w:eastAsia="宋体" w:cs="宋体"/>
                <w:sz w:val="23"/>
                <w:szCs w:val="23"/>
              </w:rPr>
            </w:pPr>
            <w:r>
              <w:rPr>
                <w:rFonts w:ascii="宋体" w:hAnsi="宋体" w:eastAsia="宋体" w:cs="宋体"/>
                <w:spacing w:val="-7"/>
                <w:sz w:val="23"/>
                <w:szCs w:val="23"/>
              </w:rPr>
              <w:t>误</w:t>
            </w:r>
            <w:r>
              <w:rPr>
                <w:rFonts w:ascii="宋体" w:hAnsi="宋体" w:eastAsia="宋体" w:cs="宋体"/>
                <w:spacing w:val="-4"/>
                <w:sz w:val="23"/>
                <w:szCs w:val="23"/>
              </w:rPr>
              <w:t>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2346" w:type="dxa"/>
            <w:vAlign w:val="top"/>
          </w:tcPr>
          <w:p>
            <w:pPr>
              <w:spacing w:before="106" w:line="223" w:lineRule="auto"/>
              <w:ind w:left="146"/>
              <w:rPr>
                <w:rFonts w:ascii="宋体" w:hAnsi="宋体" w:eastAsia="宋体" w:cs="宋体"/>
                <w:sz w:val="23"/>
                <w:szCs w:val="23"/>
              </w:rPr>
            </w:pPr>
            <w:r>
              <w:rPr>
                <w:rFonts w:ascii="宋体" w:hAnsi="宋体" w:eastAsia="宋体" w:cs="宋体"/>
                <w:spacing w:val="-6"/>
                <w:sz w:val="23"/>
                <w:szCs w:val="23"/>
              </w:rPr>
              <w:t>化</w:t>
            </w:r>
            <w:r>
              <w:rPr>
                <w:rFonts w:ascii="宋体" w:hAnsi="宋体" w:eastAsia="宋体" w:cs="宋体"/>
                <w:spacing w:val="-4"/>
                <w:sz w:val="23"/>
                <w:szCs w:val="23"/>
              </w:rPr>
              <w:t>石燃料燃烧CO</w:t>
            </w:r>
            <w:r>
              <w:rPr>
                <w:rFonts w:ascii="宋体" w:hAnsi="宋体" w:eastAsia="宋体" w:cs="宋体"/>
                <w:spacing w:val="-4"/>
                <w:position w:val="-3"/>
                <w:sz w:val="11"/>
                <w:szCs w:val="11"/>
              </w:rPr>
              <w:t>2</w:t>
            </w:r>
            <w:r>
              <w:rPr>
                <w:rFonts w:ascii="宋体" w:hAnsi="宋体" w:eastAsia="宋体" w:cs="宋体"/>
                <w:spacing w:val="-4"/>
                <w:sz w:val="23"/>
                <w:szCs w:val="23"/>
              </w:rPr>
              <w:t>排放</w:t>
            </w:r>
          </w:p>
        </w:tc>
        <w:tc>
          <w:tcPr>
            <w:tcW w:w="1424" w:type="dxa"/>
            <w:vAlign w:val="center"/>
          </w:tcPr>
          <w:p>
            <w:pPr>
              <w:pStyle w:val="7"/>
              <w:bidi w:val="0"/>
              <w:jc w:val="center"/>
              <w:rPr>
                <w:b w:val="0"/>
                <w:bCs w:val="0"/>
                <w:highlight w:val="none"/>
              </w:rPr>
            </w:pPr>
            <w:r>
              <w:rPr>
                <w:rFonts w:hint="eastAsia"/>
                <w:b w:val="0"/>
                <w:bCs w:val="0"/>
                <w:highlight w:val="none"/>
                <w:lang w:val="en-US" w:eastAsia="zh-CN"/>
              </w:rPr>
              <w:t>101.696</w:t>
            </w:r>
          </w:p>
        </w:tc>
        <w:tc>
          <w:tcPr>
            <w:tcW w:w="1582" w:type="dxa"/>
            <w:vAlign w:val="center"/>
          </w:tcPr>
          <w:p>
            <w:pPr>
              <w:pStyle w:val="7"/>
              <w:bidi w:val="0"/>
              <w:jc w:val="center"/>
              <w:rPr>
                <w:b w:val="0"/>
                <w:bCs w:val="0"/>
                <w:highlight w:val="none"/>
              </w:rPr>
            </w:pPr>
            <w:r>
              <w:rPr>
                <w:rFonts w:hint="eastAsia"/>
                <w:b w:val="0"/>
                <w:bCs w:val="0"/>
                <w:highlight w:val="none"/>
                <w:lang w:val="en-US" w:eastAsia="zh-CN"/>
              </w:rPr>
              <w:t>101.696</w:t>
            </w:r>
          </w:p>
        </w:tc>
        <w:tc>
          <w:tcPr>
            <w:tcW w:w="1556" w:type="dxa"/>
            <w:vAlign w:val="center"/>
          </w:tcPr>
          <w:p>
            <w:pPr>
              <w:pStyle w:val="7"/>
              <w:bidi w:val="0"/>
              <w:jc w:val="center"/>
              <w:rPr>
                <w:b w:val="0"/>
                <w:bCs w:val="0"/>
                <w:highlight w:val="none"/>
              </w:rPr>
            </w:pPr>
            <w:r>
              <w:rPr>
                <w:rFonts w:hint="eastAsia"/>
                <w:b w:val="0"/>
                <w:bCs w:val="0"/>
                <w:highlight w:val="none"/>
                <w:lang w:val="en-US" w:eastAsia="zh-CN"/>
              </w:rPr>
              <w:t>101.696</w:t>
            </w:r>
          </w:p>
        </w:tc>
        <w:tc>
          <w:tcPr>
            <w:tcW w:w="1394" w:type="dxa"/>
            <w:vAlign w:val="top"/>
          </w:tcPr>
          <w:p>
            <w:pPr>
              <w:spacing w:before="106" w:line="308"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2346" w:type="dxa"/>
            <w:vAlign w:val="top"/>
          </w:tcPr>
          <w:p>
            <w:pPr>
              <w:spacing w:before="108" w:line="223" w:lineRule="auto"/>
              <w:ind w:left="148"/>
              <w:rPr>
                <w:rFonts w:ascii="宋体" w:hAnsi="宋体" w:eastAsia="宋体" w:cs="宋体"/>
                <w:sz w:val="23"/>
                <w:szCs w:val="23"/>
              </w:rPr>
            </w:pPr>
            <w:r>
              <w:rPr>
                <w:rFonts w:ascii="宋体" w:hAnsi="宋体" w:eastAsia="宋体" w:cs="宋体"/>
                <w:spacing w:val="-8"/>
                <w:sz w:val="23"/>
                <w:szCs w:val="23"/>
              </w:rPr>
              <w:t>工</w:t>
            </w:r>
            <w:r>
              <w:rPr>
                <w:rFonts w:ascii="宋体" w:hAnsi="宋体" w:eastAsia="宋体" w:cs="宋体"/>
                <w:spacing w:val="-4"/>
                <w:sz w:val="23"/>
                <w:szCs w:val="23"/>
              </w:rPr>
              <w:t>业生产过程CO</w:t>
            </w:r>
            <w:r>
              <w:rPr>
                <w:rFonts w:ascii="宋体" w:hAnsi="宋体" w:eastAsia="宋体" w:cs="宋体"/>
                <w:spacing w:val="-4"/>
                <w:position w:val="-3"/>
                <w:sz w:val="11"/>
                <w:szCs w:val="11"/>
              </w:rPr>
              <w:t>2</w:t>
            </w:r>
            <w:r>
              <w:rPr>
                <w:rFonts w:ascii="宋体" w:hAnsi="宋体" w:eastAsia="宋体" w:cs="宋体"/>
                <w:spacing w:val="-4"/>
                <w:sz w:val="23"/>
                <w:szCs w:val="23"/>
              </w:rPr>
              <w:t>排放</w:t>
            </w:r>
          </w:p>
        </w:tc>
        <w:tc>
          <w:tcPr>
            <w:tcW w:w="1424"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jc w:val="center"/>
              <w:textAlignment w:val="baseline"/>
              <w:rPr>
                <w:rFonts w:hint="default"/>
                <w:highlight w:val="none"/>
                <w:lang w:val="en-US"/>
              </w:rPr>
            </w:pPr>
            <w:r>
              <w:rPr>
                <w:rFonts w:hint="eastAsia"/>
                <w:highlight w:val="none"/>
                <w:lang w:val="en-US" w:eastAsia="zh-CN"/>
              </w:rPr>
              <w:t>0</w:t>
            </w:r>
          </w:p>
        </w:tc>
        <w:tc>
          <w:tcPr>
            <w:tcW w:w="1582"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jc w:val="center"/>
              <w:textAlignment w:val="baseline"/>
              <w:rPr>
                <w:rFonts w:hint="eastAsia" w:eastAsia="宋体"/>
                <w:highlight w:val="none"/>
                <w:lang w:val="en-US" w:eastAsia="zh-CN"/>
              </w:rPr>
            </w:pPr>
            <w:r>
              <w:rPr>
                <w:rFonts w:hint="eastAsia"/>
                <w:highlight w:val="none"/>
                <w:lang w:val="en-US" w:eastAsia="zh-CN"/>
              </w:rPr>
              <w:t>0</w:t>
            </w:r>
          </w:p>
        </w:tc>
        <w:tc>
          <w:tcPr>
            <w:tcW w:w="1556"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jc w:val="center"/>
              <w:textAlignment w:val="baseline"/>
              <w:rPr>
                <w:rFonts w:hint="eastAsia" w:eastAsia="宋体"/>
                <w:highlight w:val="none"/>
                <w:lang w:val="en-US" w:eastAsia="zh-CN"/>
              </w:rPr>
            </w:pPr>
            <w:r>
              <w:rPr>
                <w:rFonts w:hint="eastAsia"/>
                <w:highlight w:val="none"/>
                <w:lang w:val="en-US" w:eastAsia="zh-CN"/>
              </w:rPr>
              <w:t>0</w:t>
            </w:r>
          </w:p>
        </w:tc>
        <w:tc>
          <w:tcPr>
            <w:tcW w:w="1394" w:type="dxa"/>
            <w:vAlign w:val="top"/>
          </w:tcPr>
          <w:p>
            <w:pPr>
              <w:spacing w:before="108" w:line="308"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2346" w:type="dxa"/>
            <w:vAlign w:val="top"/>
          </w:tcPr>
          <w:p>
            <w:pPr>
              <w:spacing w:before="109" w:line="223" w:lineRule="auto"/>
              <w:ind w:left="148"/>
              <w:rPr>
                <w:rFonts w:ascii="宋体" w:hAnsi="宋体" w:eastAsia="宋体" w:cs="宋体"/>
                <w:sz w:val="23"/>
                <w:szCs w:val="23"/>
              </w:rPr>
            </w:pPr>
            <w:r>
              <w:rPr>
                <w:rFonts w:ascii="宋体" w:hAnsi="宋体" w:eastAsia="宋体" w:cs="宋体"/>
                <w:spacing w:val="-8"/>
                <w:sz w:val="23"/>
                <w:szCs w:val="23"/>
              </w:rPr>
              <w:t>工</w:t>
            </w:r>
            <w:r>
              <w:rPr>
                <w:rFonts w:ascii="宋体" w:hAnsi="宋体" w:eastAsia="宋体" w:cs="宋体"/>
                <w:spacing w:val="-4"/>
                <w:sz w:val="23"/>
                <w:szCs w:val="23"/>
              </w:rPr>
              <w:t>业生产过程N</w:t>
            </w:r>
            <w:r>
              <w:rPr>
                <w:rFonts w:ascii="宋体" w:hAnsi="宋体" w:eastAsia="宋体" w:cs="宋体"/>
                <w:spacing w:val="-4"/>
                <w:position w:val="-3"/>
                <w:sz w:val="11"/>
                <w:szCs w:val="11"/>
              </w:rPr>
              <w:t>2</w:t>
            </w:r>
            <w:r>
              <w:rPr>
                <w:rFonts w:ascii="宋体" w:hAnsi="宋体" w:eastAsia="宋体" w:cs="宋体"/>
                <w:spacing w:val="-4"/>
                <w:sz w:val="23"/>
                <w:szCs w:val="23"/>
              </w:rPr>
              <w:t>O排放</w:t>
            </w:r>
          </w:p>
        </w:tc>
        <w:tc>
          <w:tcPr>
            <w:tcW w:w="1424" w:type="dxa"/>
            <w:vAlign w:val="top"/>
          </w:tcPr>
          <w:p>
            <w:pPr>
              <w:keepNext w:val="0"/>
              <w:keepLines w:val="0"/>
              <w:pageBreakBefore w:val="0"/>
              <w:widowControl/>
              <w:kinsoku w:val="0"/>
              <w:wordWrap/>
              <w:overflowPunct/>
              <w:topLinePunct w:val="0"/>
              <w:autoSpaceDE w:val="0"/>
              <w:autoSpaceDN w:val="0"/>
              <w:bidi w:val="0"/>
              <w:adjustRightInd/>
              <w:snapToGrid/>
              <w:spacing w:before="147" w:line="240" w:lineRule="auto"/>
              <w:ind w:left="664"/>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582" w:type="dxa"/>
            <w:vAlign w:val="top"/>
          </w:tcPr>
          <w:p>
            <w:pPr>
              <w:keepNext w:val="0"/>
              <w:keepLines w:val="0"/>
              <w:pageBreakBefore w:val="0"/>
              <w:widowControl/>
              <w:kinsoku w:val="0"/>
              <w:wordWrap/>
              <w:overflowPunct/>
              <w:topLinePunct w:val="0"/>
              <w:autoSpaceDE w:val="0"/>
              <w:autoSpaceDN w:val="0"/>
              <w:bidi w:val="0"/>
              <w:adjustRightInd/>
              <w:snapToGrid/>
              <w:spacing w:before="147" w:line="240" w:lineRule="auto"/>
              <w:ind w:left="742"/>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556" w:type="dxa"/>
            <w:vAlign w:val="top"/>
          </w:tcPr>
          <w:p>
            <w:pPr>
              <w:keepNext w:val="0"/>
              <w:keepLines w:val="0"/>
              <w:pageBreakBefore w:val="0"/>
              <w:widowControl/>
              <w:kinsoku w:val="0"/>
              <w:wordWrap/>
              <w:overflowPunct/>
              <w:topLinePunct w:val="0"/>
              <w:autoSpaceDE w:val="0"/>
              <w:autoSpaceDN w:val="0"/>
              <w:bidi w:val="0"/>
              <w:adjustRightInd/>
              <w:snapToGrid/>
              <w:spacing w:before="147" w:line="240" w:lineRule="auto"/>
              <w:ind w:left="730"/>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394" w:type="dxa"/>
            <w:vAlign w:val="top"/>
          </w:tcPr>
          <w:p>
            <w:pPr>
              <w:spacing w:before="109" w:line="308"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2346" w:type="dxa"/>
            <w:vAlign w:val="top"/>
          </w:tcPr>
          <w:p>
            <w:pPr>
              <w:spacing w:before="110" w:line="223" w:lineRule="auto"/>
              <w:ind w:left="479"/>
              <w:rPr>
                <w:rFonts w:ascii="宋体" w:hAnsi="宋体" w:eastAsia="宋体" w:cs="宋体"/>
                <w:sz w:val="23"/>
                <w:szCs w:val="23"/>
              </w:rPr>
            </w:pPr>
            <w:r>
              <w:rPr>
                <w:rFonts w:ascii="宋体" w:hAnsi="宋体" w:eastAsia="宋体" w:cs="宋体"/>
                <w:spacing w:val="-9"/>
                <w:sz w:val="23"/>
                <w:szCs w:val="23"/>
              </w:rPr>
              <w:t>C</w:t>
            </w:r>
            <w:r>
              <w:rPr>
                <w:rFonts w:ascii="宋体" w:hAnsi="宋体" w:eastAsia="宋体" w:cs="宋体"/>
                <w:spacing w:val="-8"/>
                <w:sz w:val="23"/>
                <w:szCs w:val="23"/>
              </w:rPr>
              <w:t>O</w:t>
            </w:r>
            <w:r>
              <w:rPr>
                <w:rFonts w:ascii="宋体" w:hAnsi="宋体" w:eastAsia="宋体" w:cs="宋体"/>
                <w:spacing w:val="-9"/>
                <w:position w:val="-3"/>
                <w:sz w:val="11"/>
                <w:szCs w:val="11"/>
              </w:rPr>
              <w:t xml:space="preserve">2 </w:t>
            </w:r>
            <w:r>
              <w:rPr>
                <w:rFonts w:ascii="宋体" w:hAnsi="宋体" w:eastAsia="宋体" w:cs="宋体"/>
                <w:spacing w:val="-9"/>
                <w:sz w:val="23"/>
                <w:szCs w:val="23"/>
              </w:rPr>
              <w:t>回收利用量</w:t>
            </w:r>
          </w:p>
        </w:tc>
        <w:tc>
          <w:tcPr>
            <w:tcW w:w="1424" w:type="dxa"/>
            <w:vAlign w:val="top"/>
          </w:tcPr>
          <w:p>
            <w:pPr>
              <w:keepNext w:val="0"/>
              <w:keepLines w:val="0"/>
              <w:pageBreakBefore w:val="0"/>
              <w:widowControl/>
              <w:kinsoku w:val="0"/>
              <w:wordWrap/>
              <w:overflowPunct/>
              <w:topLinePunct w:val="0"/>
              <w:autoSpaceDE w:val="0"/>
              <w:autoSpaceDN w:val="0"/>
              <w:bidi w:val="0"/>
              <w:adjustRightInd/>
              <w:snapToGrid/>
              <w:spacing w:before="147" w:line="240" w:lineRule="auto"/>
              <w:ind w:left="664"/>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582" w:type="dxa"/>
            <w:vAlign w:val="top"/>
          </w:tcPr>
          <w:p>
            <w:pPr>
              <w:keepNext w:val="0"/>
              <w:keepLines w:val="0"/>
              <w:pageBreakBefore w:val="0"/>
              <w:widowControl/>
              <w:kinsoku w:val="0"/>
              <w:wordWrap/>
              <w:overflowPunct/>
              <w:topLinePunct w:val="0"/>
              <w:autoSpaceDE w:val="0"/>
              <w:autoSpaceDN w:val="0"/>
              <w:bidi w:val="0"/>
              <w:adjustRightInd/>
              <w:snapToGrid/>
              <w:spacing w:before="147" w:line="240" w:lineRule="auto"/>
              <w:ind w:left="742"/>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556" w:type="dxa"/>
            <w:vAlign w:val="top"/>
          </w:tcPr>
          <w:p>
            <w:pPr>
              <w:keepNext w:val="0"/>
              <w:keepLines w:val="0"/>
              <w:pageBreakBefore w:val="0"/>
              <w:widowControl/>
              <w:kinsoku w:val="0"/>
              <w:wordWrap/>
              <w:overflowPunct/>
              <w:topLinePunct w:val="0"/>
              <w:autoSpaceDE w:val="0"/>
              <w:autoSpaceDN w:val="0"/>
              <w:bidi w:val="0"/>
              <w:adjustRightInd/>
              <w:snapToGrid/>
              <w:spacing w:before="147" w:line="240" w:lineRule="auto"/>
              <w:ind w:left="730"/>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394" w:type="dxa"/>
            <w:vAlign w:val="top"/>
          </w:tcPr>
          <w:p>
            <w:pPr>
              <w:spacing w:before="109" w:line="309"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2346" w:type="dxa"/>
            <w:vAlign w:val="top"/>
          </w:tcPr>
          <w:p>
            <w:pPr>
              <w:spacing w:before="87" w:line="254" w:lineRule="auto"/>
              <w:ind w:left="814" w:right="35" w:hanging="753"/>
              <w:rPr>
                <w:rFonts w:ascii="宋体" w:hAnsi="宋体" w:eastAsia="宋体" w:cs="宋体"/>
                <w:sz w:val="23"/>
                <w:szCs w:val="23"/>
              </w:rPr>
            </w:pPr>
            <w:r>
              <w:rPr>
                <w:rFonts w:ascii="宋体" w:hAnsi="宋体" w:eastAsia="宋体" w:cs="宋体"/>
                <w:spacing w:val="-10"/>
                <w:sz w:val="23"/>
                <w:szCs w:val="23"/>
              </w:rPr>
              <w:t>净</w:t>
            </w:r>
            <w:r>
              <w:rPr>
                <w:rFonts w:ascii="宋体" w:hAnsi="宋体" w:eastAsia="宋体" w:cs="宋体"/>
                <w:spacing w:val="-7"/>
                <w:sz w:val="23"/>
                <w:szCs w:val="23"/>
              </w:rPr>
              <w:t>购</w:t>
            </w:r>
            <w:r>
              <w:rPr>
                <w:rFonts w:ascii="宋体" w:hAnsi="宋体" w:eastAsia="宋体" w:cs="宋体"/>
                <w:spacing w:val="-5"/>
                <w:sz w:val="23"/>
                <w:szCs w:val="23"/>
              </w:rPr>
              <w:t>入电力消费引起的</w:t>
            </w:r>
            <w:r>
              <w:rPr>
                <w:rFonts w:ascii="宋体" w:hAnsi="宋体" w:eastAsia="宋体" w:cs="宋体"/>
                <w:sz w:val="23"/>
                <w:szCs w:val="23"/>
              </w:rPr>
              <w:t xml:space="preserve"> </w:t>
            </w:r>
            <w:r>
              <w:rPr>
                <w:rFonts w:ascii="宋体" w:hAnsi="宋体" w:eastAsia="宋体" w:cs="宋体"/>
                <w:spacing w:val="-1"/>
                <w:sz w:val="23"/>
                <w:szCs w:val="23"/>
              </w:rPr>
              <w:t>CO</w:t>
            </w:r>
            <w:r>
              <w:rPr>
                <w:rFonts w:ascii="宋体" w:hAnsi="宋体" w:eastAsia="宋体" w:cs="宋体"/>
                <w:spacing w:val="-2"/>
                <w:position w:val="-3"/>
                <w:sz w:val="11"/>
                <w:szCs w:val="11"/>
              </w:rPr>
              <w:t>2</w:t>
            </w:r>
            <w:r>
              <w:rPr>
                <w:rFonts w:ascii="宋体" w:hAnsi="宋体" w:eastAsia="宋体" w:cs="宋体"/>
                <w:spacing w:val="-2"/>
                <w:sz w:val="23"/>
                <w:szCs w:val="23"/>
              </w:rPr>
              <w:t>排</w:t>
            </w:r>
            <w:r>
              <w:rPr>
                <w:rFonts w:ascii="宋体" w:hAnsi="宋体" w:eastAsia="宋体" w:cs="宋体"/>
                <w:spacing w:val="-1"/>
                <w:sz w:val="23"/>
                <w:szCs w:val="23"/>
              </w:rPr>
              <w:t>放</w:t>
            </w:r>
          </w:p>
        </w:tc>
        <w:tc>
          <w:tcPr>
            <w:tcW w:w="1424"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jc w:val="center"/>
              <w:textAlignment w:val="baseline"/>
              <w:rPr>
                <w:highlight w:val="none"/>
              </w:rPr>
            </w:pPr>
            <w:r>
              <w:rPr>
                <w:rFonts w:hint="eastAsia"/>
                <w:highlight w:val="none"/>
                <w:lang w:val="en-US" w:eastAsia="zh-CN"/>
              </w:rPr>
              <w:t>3518.751</w:t>
            </w:r>
          </w:p>
        </w:tc>
        <w:tc>
          <w:tcPr>
            <w:tcW w:w="1582"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jc w:val="center"/>
              <w:textAlignment w:val="baseline"/>
              <w:rPr>
                <w:highlight w:val="none"/>
              </w:rPr>
            </w:pPr>
            <w:r>
              <w:rPr>
                <w:rFonts w:hint="eastAsia"/>
                <w:highlight w:val="none"/>
                <w:lang w:val="en-US" w:eastAsia="zh-CN"/>
              </w:rPr>
              <w:t>3518.751</w:t>
            </w:r>
          </w:p>
        </w:tc>
        <w:tc>
          <w:tcPr>
            <w:tcW w:w="1556"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jc w:val="center"/>
              <w:textAlignment w:val="baseline"/>
              <w:rPr>
                <w:highlight w:val="none"/>
              </w:rPr>
            </w:pPr>
            <w:r>
              <w:rPr>
                <w:rFonts w:hint="eastAsia"/>
                <w:highlight w:val="none"/>
                <w:lang w:val="en-US" w:eastAsia="zh-CN"/>
              </w:rPr>
              <w:t>3518.751</w:t>
            </w:r>
          </w:p>
        </w:tc>
        <w:tc>
          <w:tcPr>
            <w:tcW w:w="1394" w:type="dxa"/>
            <w:vAlign w:val="top"/>
          </w:tcPr>
          <w:p>
            <w:pPr>
              <w:spacing w:before="241" w:line="308"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3770" w:type="dxa"/>
            <w:gridSpan w:val="2"/>
            <w:vAlign w:val="top"/>
          </w:tcPr>
          <w:p>
            <w:pPr>
              <w:spacing w:before="114" w:line="223" w:lineRule="auto"/>
              <w:ind w:left="77"/>
              <w:rPr>
                <w:rFonts w:ascii="宋体" w:hAnsi="宋体" w:eastAsia="宋体" w:cs="宋体"/>
                <w:sz w:val="23"/>
                <w:szCs w:val="23"/>
                <w:highlight w:val="none"/>
              </w:rPr>
            </w:pPr>
            <w:r>
              <w:rPr>
                <w:rFonts w:ascii="宋体" w:hAnsi="宋体" w:eastAsia="宋体" w:cs="宋体"/>
                <w:spacing w:val="-8"/>
                <w:sz w:val="23"/>
                <w:szCs w:val="23"/>
                <w:highlight w:val="none"/>
              </w:rPr>
              <w:t>企业温室</w:t>
            </w:r>
            <w:r>
              <w:rPr>
                <w:rFonts w:ascii="宋体" w:hAnsi="宋体" w:eastAsia="宋体" w:cs="宋体"/>
                <w:spacing w:val="-4"/>
                <w:sz w:val="23"/>
                <w:szCs w:val="23"/>
                <w:highlight w:val="none"/>
              </w:rPr>
              <w:t>气体排放总量 (吨CO</w:t>
            </w:r>
            <w:r>
              <w:rPr>
                <w:rFonts w:ascii="宋体" w:hAnsi="宋体" w:eastAsia="宋体" w:cs="宋体"/>
                <w:spacing w:val="-4"/>
                <w:position w:val="-3"/>
                <w:sz w:val="11"/>
                <w:szCs w:val="11"/>
                <w:highlight w:val="none"/>
              </w:rPr>
              <w:t>2</w:t>
            </w:r>
            <w:r>
              <w:rPr>
                <w:rFonts w:ascii="宋体" w:hAnsi="宋体" w:eastAsia="宋体" w:cs="宋体"/>
                <w:spacing w:val="-4"/>
                <w:sz w:val="23"/>
                <w:szCs w:val="23"/>
                <w:highlight w:val="none"/>
              </w:rPr>
              <w:t>当量)</w:t>
            </w:r>
          </w:p>
        </w:tc>
        <w:tc>
          <w:tcPr>
            <w:tcW w:w="1582" w:type="dxa"/>
            <w:vAlign w:val="center"/>
          </w:tcPr>
          <w:p>
            <w:pPr>
              <w:pStyle w:val="17"/>
              <w:bidi w:val="0"/>
              <w:jc w:val="center"/>
              <w:rPr>
                <w:highlight w:val="none"/>
              </w:rPr>
            </w:pPr>
            <w:r>
              <w:rPr>
                <w:rFonts w:hint="eastAsia"/>
                <w:highlight w:val="none"/>
                <w:lang w:val="en-US" w:eastAsia="zh-CN"/>
              </w:rPr>
              <w:t>3620.447</w:t>
            </w:r>
          </w:p>
        </w:tc>
        <w:tc>
          <w:tcPr>
            <w:tcW w:w="1556" w:type="dxa"/>
            <w:vAlign w:val="center"/>
          </w:tcPr>
          <w:p>
            <w:pPr>
              <w:pStyle w:val="17"/>
              <w:bidi w:val="0"/>
              <w:jc w:val="center"/>
              <w:rPr>
                <w:highlight w:val="none"/>
              </w:rPr>
            </w:pPr>
            <w:r>
              <w:rPr>
                <w:rFonts w:hint="eastAsia"/>
                <w:highlight w:val="none"/>
                <w:lang w:val="en-US" w:eastAsia="zh-CN"/>
              </w:rPr>
              <w:t>3620.447</w:t>
            </w:r>
          </w:p>
        </w:tc>
        <w:tc>
          <w:tcPr>
            <w:tcW w:w="1394" w:type="dxa"/>
            <w:vAlign w:val="top"/>
          </w:tcPr>
          <w:p>
            <w:pPr>
              <w:spacing w:before="114" w:line="308"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bl>
    <w:p>
      <w:pPr>
        <w:pStyle w:val="8"/>
        <w:bidi w:val="0"/>
      </w:pPr>
      <w:r>
        <w:t>综上所述，核查组通过重新核算，确认受核查方二氧化碳排放量， 受核查方认可核查数据为《排放报告》填报数据。</w:t>
      </w:r>
    </w:p>
    <w:p>
      <w:pPr>
        <w:pStyle w:val="5"/>
        <w:bidi w:val="0"/>
      </w:pPr>
      <w:bookmarkStart w:id="50" w:name="_bookmark26"/>
      <w:bookmarkEnd w:id="50"/>
      <w:bookmarkStart w:id="51" w:name="_Toc3020"/>
      <w:r>
        <w:t>3.4.4配额分配相关补充数据的核查</w:t>
      </w:r>
      <w:bookmarkEnd w:id="51"/>
    </w:p>
    <w:p>
      <w:pPr>
        <w:pStyle w:val="8"/>
        <w:bidi w:val="0"/>
      </w:pPr>
      <w:r>
        <w:t>据现场核查确认，受核查方为非碳交易企业，不在“71号文”要求填写《补充数据表》的企业范围内，故不涉及对配额分配相关补充数据的 核查。</w:t>
      </w:r>
    </w:p>
    <w:p>
      <w:pPr>
        <w:pStyle w:val="4"/>
        <w:bidi w:val="0"/>
      </w:pPr>
      <w:bookmarkStart w:id="52" w:name="_bookmark27"/>
      <w:bookmarkEnd w:id="52"/>
      <w:bookmarkStart w:id="53" w:name="_Toc12461"/>
      <w:r>
        <w:t>3.5</w:t>
      </w:r>
      <w:r>
        <w:rPr>
          <w:rFonts w:hint="eastAsia"/>
          <w:lang w:val="en-US" w:eastAsia="zh-CN"/>
        </w:rPr>
        <w:t xml:space="preserve">  </w:t>
      </w:r>
      <w:r>
        <w:t>质量保证和文件存档的核查</w:t>
      </w:r>
      <w:bookmarkEnd w:id="53"/>
    </w:p>
    <w:p>
      <w:pPr>
        <w:pStyle w:val="8"/>
        <w:bidi w:val="0"/>
      </w:pPr>
      <w:r>
        <w:t>核查组成员通过文件评审、现场查看相关资料，确认受核查方在质 量保证和文件存档方面所做的具体工作如下：</w:t>
      </w:r>
    </w:p>
    <w:p>
      <w:pPr>
        <w:pStyle w:val="8"/>
        <w:bidi w:val="0"/>
        <w:sectPr>
          <w:headerReference r:id="rId14" w:type="default"/>
          <w:footerReference r:id="rId15" w:type="default"/>
          <w:pgSz w:w="11906" w:h="16840"/>
          <w:pgMar w:top="1171" w:right="1785" w:bottom="1025" w:left="1785" w:header="901" w:footer="852" w:gutter="0"/>
          <w:pgNumType w:fmt="decimal"/>
          <w:cols w:space="720" w:num="1"/>
        </w:sectPr>
      </w:pPr>
    </w:p>
    <w:p>
      <w:pPr>
        <w:pStyle w:val="8"/>
        <w:bidi w:val="0"/>
      </w:pPr>
      <w:r>
        <w:t>(1) 受审核方在总经办已指定专人负责温室气体监测计划的制定 、温室气体报告的编制及上报工作。审核组询问了公司部门负责人及当 事人，确认监测计划制定、温室气体报告人员职责明确。</w:t>
      </w:r>
    </w:p>
    <w:p>
      <w:pPr>
        <w:pStyle w:val="8"/>
        <w:bidi w:val="0"/>
      </w:pPr>
      <w:r>
        <w:t>(2) 受审核方制订了内部质量控制程序，明确了监测计划的制定、 修订、审批以及执行等的管理要求，审核组通过查阅文件，现场调查及 与相关人员沟通，确认温室气体监测计划的制定、修订、审批以及执行 等管理要求具有可行性，并确认管理要求已予以落实实施。</w:t>
      </w:r>
    </w:p>
    <w:p>
      <w:pPr>
        <w:pStyle w:val="8"/>
        <w:bidi w:val="0"/>
      </w:pPr>
      <w:r>
        <w:t>(3) 审核组确认受审核方已建立温室气体排放报告编制、内部评 估及审批等管理制度。</w:t>
      </w:r>
    </w:p>
    <w:p>
      <w:pPr>
        <w:pStyle w:val="8"/>
        <w:bidi w:val="0"/>
      </w:pPr>
      <w:r>
        <w:t>受审核方制定了温室气体报告数据文件归档管理程序，同时建立了 质量管理体系，并定期进行审核。审核组现场查阅了企业历年温室气体排放的归档文件，确认受审核方能够依据管理程序要求保存温室气体数据文件。</w:t>
      </w:r>
    </w:p>
    <w:p>
      <w:pPr>
        <w:pStyle w:val="4"/>
        <w:bidi w:val="0"/>
      </w:pPr>
      <w:bookmarkStart w:id="54" w:name="_bookmark28"/>
      <w:bookmarkEnd w:id="54"/>
      <w:bookmarkStart w:id="55" w:name="_Toc26609"/>
      <w:r>
        <w:t>3.6</w:t>
      </w:r>
      <w:r>
        <w:rPr>
          <w:rFonts w:hint="eastAsia"/>
          <w:lang w:val="en-US" w:eastAsia="zh-CN"/>
        </w:rPr>
        <w:t xml:space="preserve">  </w:t>
      </w:r>
      <w:r>
        <w:t>其他核查发现</w:t>
      </w:r>
      <w:bookmarkEnd w:id="55"/>
    </w:p>
    <w:p>
      <w:pPr>
        <w:pStyle w:val="8"/>
        <w:bidi w:val="0"/>
      </w:pPr>
      <w:r>
        <w:t>无</w:t>
      </w:r>
    </w:p>
    <w:p>
      <w:pPr>
        <w:pStyle w:val="8"/>
        <w:bidi w:val="0"/>
        <w:sectPr>
          <w:headerReference r:id="rId16" w:type="default"/>
          <w:footerReference r:id="rId17" w:type="default"/>
          <w:pgSz w:w="11906" w:h="16840"/>
          <w:pgMar w:top="1171" w:right="1720" w:bottom="1025" w:left="1785" w:header="901" w:footer="852" w:gutter="0"/>
          <w:pgNumType w:fmt="decimal"/>
          <w:cols w:space="720" w:num="1"/>
        </w:sectPr>
      </w:pPr>
    </w:p>
    <w:p>
      <w:pPr>
        <w:pStyle w:val="2"/>
        <w:bidi w:val="0"/>
      </w:pPr>
      <w:bookmarkStart w:id="56" w:name="_bookmark29"/>
      <w:bookmarkEnd w:id="56"/>
      <w:bookmarkStart w:id="57" w:name="_Toc24093"/>
      <w:r>
        <w:t>第四章核查结论</w:t>
      </w:r>
      <w:bookmarkEnd w:id="57"/>
    </w:p>
    <w:p>
      <w:pPr>
        <w:pStyle w:val="4"/>
        <w:bidi w:val="0"/>
      </w:pPr>
      <w:bookmarkStart w:id="58" w:name="_bookmark30"/>
      <w:bookmarkEnd w:id="58"/>
      <w:bookmarkStart w:id="59" w:name="_Toc16030"/>
      <w:r>
        <w:t>4.1</w:t>
      </w:r>
      <w:r>
        <w:rPr>
          <w:rFonts w:hint="eastAsia"/>
          <w:lang w:val="en-US" w:eastAsia="zh-CN"/>
        </w:rPr>
        <w:t xml:space="preserve">  </w:t>
      </w:r>
      <w:r>
        <w:t>排放报告与核算指南的符合性</w:t>
      </w:r>
      <w:bookmarkEnd w:id="59"/>
    </w:p>
    <w:p>
      <w:pPr>
        <w:pStyle w:val="8"/>
        <w:bidi w:val="0"/>
      </w:pPr>
      <w:r>
        <w:t>基于文件评审和现场访问，在所有不符合项关闭之后，杭州申乾裕确认 ：</w:t>
      </w:r>
    </w:p>
    <w:p>
      <w:pPr>
        <w:pStyle w:val="8"/>
        <w:bidi w:val="0"/>
      </w:pPr>
      <w:r>
        <w:rPr>
          <w:rFonts w:hint="eastAsia"/>
        </w:rPr>
        <w:t>浙江群展精密紧固件股份有限公司</w:t>
      </w:r>
      <w:r>
        <w:rPr>
          <w:rFonts w:hint="eastAsia"/>
          <w:lang w:eastAsia="zh-CN"/>
        </w:rPr>
        <w:t>2022</w:t>
      </w:r>
      <w:r>
        <w:t>年度的排放报告与核算方法符合《</w:t>
      </w:r>
      <w:r>
        <w:rPr>
          <w:rFonts w:hint="eastAsia"/>
          <w:lang w:eastAsia="zh-CN"/>
        </w:rPr>
        <w:t>机械设备制造企业温室气体排放核算方法与报告指南（试行）</w:t>
      </w:r>
      <w:r>
        <w:rPr>
          <w:rFonts w:hint="eastAsia"/>
        </w:rPr>
        <w:t>）</w:t>
      </w:r>
      <w:r>
        <w:t>》和《</w:t>
      </w:r>
      <w:r>
        <w:rPr>
          <w:rFonts w:hint="eastAsia"/>
        </w:rPr>
        <w:t>关于做好2023—2025年发电行业企业温室气体排放报告管理有关工作的通知</w:t>
      </w:r>
      <w:r>
        <w:t>》的要求。</w:t>
      </w:r>
    </w:p>
    <w:p>
      <w:pPr>
        <w:pStyle w:val="4"/>
        <w:bidi w:val="0"/>
        <w:rPr>
          <w:rFonts w:hint="eastAsia" w:eastAsia="宋体"/>
          <w:lang w:eastAsia="zh-CN"/>
        </w:rPr>
      </w:pPr>
      <w:bookmarkStart w:id="60" w:name="_bookmark31"/>
      <w:bookmarkEnd w:id="60"/>
      <w:bookmarkStart w:id="61" w:name="_Toc20284"/>
      <w:r>
        <w:t>4.2</w:t>
      </w:r>
      <w:r>
        <w:rPr>
          <w:rFonts w:hint="eastAsia"/>
          <w:lang w:val="en-US" w:eastAsia="zh-CN"/>
        </w:rPr>
        <w:t xml:space="preserve">  </w:t>
      </w:r>
      <w:r>
        <w:rPr>
          <w:highlight w:val="none"/>
        </w:rPr>
        <w:t>排放量声明</w:t>
      </w:r>
      <w:bookmarkEnd w:id="61"/>
    </w:p>
    <w:p>
      <w:pPr>
        <w:pStyle w:val="5"/>
        <w:bidi w:val="0"/>
      </w:pPr>
      <w:bookmarkStart w:id="62" w:name="_bookmark32"/>
      <w:bookmarkEnd w:id="62"/>
      <w:bookmarkStart w:id="63" w:name="_Toc21872"/>
      <w:r>
        <w:t>4.2.1企业法人边界的排放量声明</w:t>
      </w:r>
      <w:bookmarkEnd w:id="63"/>
    </w:p>
    <w:p>
      <w:pPr>
        <w:pStyle w:val="8"/>
        <w:bidi w:val="0"/>
      </w:pPr>
      <w:r>
        <w:rPr>
          <w:rFonts w:hint="eastAsia"/>
        </w:rPr>
        <w:t>浙江群展精密紧固件股份有限公司</w:t>
      </w:r>
      <w:r>
        <w:t>不涉及化石燃料燃烧排放的二氧化碳，不涉 及工业生产过程CO</w:t>
      </w:r>
      <w:r>
        <w:rPr>
          <w:vertAlign w:val="subscript"/>
        </w:rPr>
        <w:t>2</w:t>
      </w:r>
      <w:r>
        <w:t>排放、工业生产过程N</w:t>
      </w:r>
      <w:r>
        <w:rPr>
          <w:vertAlign w:val="subscript"/>
        </w:rPr>
        <w:t>2</w:t>
      </w:r>
      <w:r>
        <w:t>O排放、CO</w:t>
      </w:r>
      <w:r>
        <w:rPr>
          <w:vertAlign w:val="subscript"/>
        </w:rPr>
        <w:t xml:space="preserve">2 </w:t>
      </w:r>
      <w:r>
        <w:t>回收利用量，净购入电力消费引起的排放量为</w:t>
      </w:r>
      <w:r>
        <w:rPr>
          <w:rFonts w:hint="eastAsia"/>
          <w:highlight w:val="none"/>
          <w:lang w:eastAsia="zh-CN"/>
        </w:rPr>
        <w:t>3518.751</w:t>
      </w:r>
      <w:r>
        <w:t>吨二氧化碳。</w:t>
      </w:r>
    </w:p>
    <w:p>
      <w:pPr>
        <w:pStyle w:val="8"/>
        <w:bidi w:val="0"/>
      </w:pPr>
      <w:r>
        <w:rPr>
          <w:rFonts w:hint="eastAsia"/>
        </w:rPr>
        <w:t>浙江群展精密紧固件股份有限公司</w:t>
      </w:r>
      <w:r>
        <w:rPr>
          <w:rFonts w:hint="eastAsia"/>
          <w:lang w:eastAsia="zh-CN"/>
        </w:rPr>
        <w:t>2022</w:t>
      </w:r>
      <w:r>
        <w:t>年度核查确认的排放量如下：</w:t>
      </w:r>
    </w:p>
    <w:p>
      <w:pPr>
        <w:pStyle w:val="7"/>
        <w:bidi w:val="0"/>
      </w:pPr>
      <w:r>
        <w:t>表4-1 核查确认的温室气体排放总量</w:t>
      </w:r>
    </w:p>
    <w:p>
      <w:pPr>
        <w:spacing w:line="149" w:lineRule="exact"/>
      </w:pPr>
    </w:p>
    <w:tbl>
      <w:tblPr>
        <w:tblStyle w:val="16"/>
        <w:tblW w:w="8302" w:type="dxa"/>
        <w:tblInd w:w="1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46"/>
        <w:gridCol w:w="1424"/>
        <w:gridCol w:w="1582"/>
        <w:gridCol w:w="1556"/>
        <w:gridCol w:w="139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trPr>
        <w:tc>
          <w:tcPr>
            <w:tcW w:w="2346" w:type="dxa"/>
            <w:vAlign w:val="top"/>
          </w:tcPr>
          <w:p>
            <w:pPr>
              <w:spacing w:before="243" w:line="227" w:lineRule="auto"/>
              <w:ind w:left="618"/>
              <w:rPr>
                <w:rFonts w:ascii="宋体" w:hAnsi="宋体" w:eastAsia="宋体" w:cs="宋体"/>
                <w:sz w:val="23"/>
                <w:szCs w:val="23"/>
              </w:rPr>
            </w:pPr>
            <w:bookmarkStart w:id="64" w:name="_bookmark33"/>
            <w:bookmarkEnd w:id="64"/>
            <w:r>
              <w:rPr>
                <w:rFonts w:ascii="宋体" w:hAnsi="宋体" w:eastAsia="宋体" w:cs="宋体"/>
                <w:spacing w:val="-6"/>
                <w:sz w:val="23"/>
                <w:szCs w:val="23"/>
              </w:rPr>
              <w:t>排</w:t>
            </w:r>
            <w:r>
              <w:rPr>
                <w:rFonts w:ascii="宋体" w:hAnsi="宋体" w:eastAsia="宋体" w:cs="宋体"/>
                <w:spacing w:val="-3"/>
                <w:sz w:val="23"/>
                <w:szCs w:val="23"/>
              </w:rPr>
              <w:t>放源类别</w:t>
            </w:r>
          </w:p>
        </w:tc>
        <w:tc>
          <w:tcPr>
            <w:tcW w:w="1424" w:type="dxa"/>
            <w:vAlign w:val="top"/>
          </w:tcPr>
          <w:p>
            <w:pPr>
              <w:spacing w:before="87" w:line="258" w:lineRule="auto"/>
              <w:ind w:left="214" w:right="21" w:hanging="167"/>
              <w:rPr>
                <w:rFonts w:ascii="宋体" w:hAnsi="宋体" w:eastAsia="宋体" w:cs="宋体"/>
                <w:sz w:val="23"/>
                <w:szCs w:val="23"/>
              </w:rPr>
            </w:pPr>
            <w:r>
              <w:rPr>
                <w:rFonts w:ascii="宋体" w:hAnsi="宋体" w:eastAsia="宋体" w:cs="宋体"/>
                <w:spacing w:val="-6"/>
                <w:sz w:val="23"/>
                <w:szCs w:val="23"/>
              </w:rPr>
              <w:t>温</w:t>
            </w:r>
            <w:r>
              <w:rPr>
                <w:rFonts w:ascii="宋体" w:hAnsi="宋体" w:eastAsia="宋体" w:cs="宋体"/>
                <w:spacing w:val="-5"/>
                <w:sz w:val="23"/>
                <w:szCs w:val="23"/>
              </w:rPr>
              <w:t>室气体本身</w:t>
            </w:r>
            <w:r>
              <w:rPr>
                <w:rFonts w:ascii="宋体" w:hAnsi="宋体" w:eastAsia="宋体" w:cs="宋体"/>
                <w:sz w:val="23"/>
                <w:szCs w:val="23"/>
              </w:rPr>
              <w:t xml:space="preserve"> </w:t>
            </w:r>
            <w:r>
              <w:rPr>
                <w:rFonts w:ascii="宋体" w:hAnsi="宋体" w:eastAsia="宋体" w:cs="宋体"/>
                <w:spacing w:val="-4"/>
                <w:sz w:val="23"/>
                <w:szCs w:val="23"/>
              </w:rPr>
              <w:t>质量 (t)</w:t>
            </w:r>
          </w:p>
        </w:tc>
        <w:tc>
          <w:tcPr>
            <w:tcW w:w="1582" w:type="dxa"/>
            <w:vAlign w:val="top"/>
          </w:tcPr>
          <w:p>
            <w:pPr>
              <w:spacing w:before="87" w:line="309" w:lineRule="exact"/>
              <w:ind w:left="434"/>
              <w:rPr>
                <w:rFonts w:ascii="宋体" w:hAnsi="宋体" w:eastAsia="宋体" w:cs="宋体"/>
                <w:sz w:val="23"/>
                <w:szCs w:val="23"/>
              </w:rPr>
            </w:pPr>
            <w:r>
              <w:rPr>
                <w:rFonts w:ascii="宋体" w:hAnsi="宋体" w:eastAsia="宋体" w:cs="宋体"/>
                <w:spacing w:val="-1"/>
                <w:position w:val="5"/>
                <w:sz w:val="23"/>
                <w:szCs w:val="23"/>
              </w:rPr>
              <w:t>CO</w:t>
            </w:r>
            <w:r>
              <w:rPr>
                <w:rFonts w:ascii="宋体" w:hAnsi="宋体" w:eastAsia="宋体" w:cs="宋体"/>
                <w:spacing w:val="-2"/>
                <w:position w:val="2"/>
                <w:sz w:val="11"/>
                <w:szCs w:val="11"/>
              </w:rPr>
              <w:t>2</w:t>
            </w:r>
            <w:r>
              <w:rPr>
                <w:rFonts w:ascii="宋体" w:hAnsi="宋体" w:eastAsia="宋体" w:cs="宋体"/>
                <w:spacing w:val="-2"/>
                <w:position w:val="5"/>
                <w:sz w:val="23"/>
                <w:szCs w:val="23"/>
              </w:rPr>
              <w:t>当</w:t>
            </w:r>
            <w:r>
              <w:rPr>
                <w:rFonts w:ascii="宋体" w:hAnsi="宋体" w:eastAsia="宋体" w:cs="宋体"/>
                <w:spacing w:val="-1"/>
                <w:position w:val="5"/>
                <w:sz w:val="23"/>
                <w:szCs w:val="23"/>
              </w:rPr>
              <w:t>量</w:t>
            </w:r>
          </w:p>
          <w:p>
            <w:pPr>
              <w:spacing w:line="225" w:lineRule="auto"/>
              <w:ind w:left="334"/>
              <w:rPr>
                <w:rFonts w:ascii="宋体" w:hAnsi="宋体" w:eastAsia="宋体" w:cs="宋体"/>
                <w:sz w:val="23"/>
                <w:szCs w:val="23"/>
              </w:rPr>
            </w:pPr>
            <w:r>
              <w:rPr>
                <w:rFonts w:ascii="宋体" w:hAnsi="宋体" w:eastAsia="宋体" w:cs="宋体"/>
                <w:spacing w:val="27"/>
                <w:sz w:val="23"/>
                <w:szCs w:val="23"/>
              </w:rPr>
              <w:t>(</w:t>
            </w:r>
            <w:r>
              <w:rPr>
                <w:rFonts w:ascii="宋体" w:hAnsi="宋体" w:eastAsia="宋体" w:cs="宋体"/>
                <w:sz w:val="23"/>
                <w:szCs w:val="23"/>
              </w:rPr>
              <w:t>tCO</w:t>
            </w:r>
            <w:r>
              <w:rPr>
                <w:rFonts w:ascii="宋体" w:hAnsi="宋体" w:eastAsia="宋体" w:cs="宋体"/>
                <w:spacing w:val="27"/>
                <w:position w:val="-3"/>
                <w:sz w:val="11"/>
                <w:szCs w:val="11"/>
              </w:rPr>
              <w:t>2</w:t>
            </w:r>
            <w:r>
              <w:rPr>
                <w:rFonts w:ascii="宋体" w:hAnsi="宋体" w:eastAsia="宋体" w:cs="宋体"/>
                <w:sz w:val="23"/>
                <w:szCs w:val="23"/>
              </w:rPr>
              <w:t>e</w:t>
            </w:r>
            <w:r>
              <w:rPr>
                <w:rFonts w:ascii="宋体" w:hAnsi="宋体" w:eastAsia="宋体" w:cs="宋体"/>
                <w:spacing w:val="27"/>
                <w:sz w:val="23"/>
                <w:szCs w:val="23"/>
              </w:rPr>
              <w:t>)</w:t>
            </w:r>
          </w:p>
        </w:tc>
        <w:tc>
          <w:tcPr>
            <w:tcW w:w="1556" w:type="dxa"/>
            <w:vAlign w:val="top"/>
          </w:tcPr>
          <w:p>
            <w:pPr>
              <w:spacing w:before="87" w:line="226" w:lineRule="auto"/>
              <w:ind w:left="223"/>
              <w:rPr>
                <w:rFonts w:ascii="宋体" w:hAnsi="宋体" w:eastAsia="宋体" w:cs="宋体"/>
                <w:sz w:val="23"/>
                <w:szCs w:val="23"/>
              </w:rPr>
            </w:pPr>
            <w:r>
              <w:rPr>
                <w:rFonts w:ascii="宋体" w:hAnsi="宋体" w:eastAsia="宋体" w:cs="宋体"/>
                <w:spacing w:val="-5"/>
                <w:sz w:val="23"/>
                <w:szCs w:val="23"/>
              </w:rPr>
              <w:t>初</w:t>
            </w:r>
            <w:r>
              <w:rPr>
                <w:rFonts w:ascii="宋体" w:hAnsi="宋体" w:eastAsia="宋体" w:cs="宋体"/>
                <w:spacing w:val="-3"/>
                <w:sz w:val="23"/>
                <w:szCs w:val="23"/>
              </w:rPr>
              <w:t>始报告值</w:t>
            </w:r>
          </w:p>
          <w:p>
            <w:pPr>
              <w:spacing w:before="28" w:line="225" w:lineRule="auto"/>
              <w:ind w:left="322"/>
              <w:rPr>
                <w:rFonts w:ascii="宋体" w:hAnsi="宋体" w:eastAsia="宋体" w:cs="宋体"/>
                <w:sz w:val="23"/>
                <w:szCs w:val="23"/>
              </w:rPr>
            </w:pPr>
            <w:r>
              <w:rPr>
                <w:rFonts w:ascii="宋体" w:hAnsi="宋体" w:eastAsia="宋体" w:cs="宋体"/>
                <w:spacing w:val="27"/>
                <w:sz w:val="23"/>
                <w:szCs w:val="23"/>
              </w:rPr>
              <w:t>(</w:t>
            </w:r>
            <w:r>
              <w:rPr>
                <w:rFonts w:ascii="宋体" w:hAnsi="宋体" w:eastAsia="宋体" w:cs="宋体"/>
                <w:sz w:val="23"/>
                <w:szCs w:val="23"/>
              </w:rPr>
              <w:t>tCO</w:t>
            </w:r>
            <w:r>
              <w:rPr>
                <w:rFonts w:ascii="宋体" w:hAnsi="宋体" w:eastAsia="宋体" w:cs="宋体"/>
                <w:spacing w:val="27"/>
                <w:position w:val="-3"/>
                <w:sz w:val="11"/>
                <w:szCs w:val="11"/>
              </w:rPr>
              <w:t>2</w:t>
            </w:r>
            <w:r>
              <w:rPr>
                <w:rFonts w:ascii="宋体" w:hAnsi="宋体" w:eastAsia="宋体" w:cs="宋体"/>
                <w:sz w:val="23"/>
                <w:szCs w:val="23"/>
              </w:rPr>
              <w:t>e</w:t>
            </w:r>
            <w:r>
              <w:rPr>
                <w:rFonts w:ascii="宋体" w:hAnsi="宋体" w:eastAsia="宋体" w:cs="宋体"/>
                <w:spacing w:val="27"/>
                <w:sz w:val="23"/>
                <w:szCs w:val="23"/>
              </w:rPr>
              <w:t>)</w:t>
            </w:r>
          </w:p>
        </w:tc>
        <w:tc>
          <w:tcPr>
            <w:tcW w:w="1394" w:type="dxa"/>
            <w:vAlign w:val="top"/>
          </w:tcPr>
          <w:p>
            <w:pPr>
              <w:spacing w:before="242" w:line="229" w:lineRule="auto"/>
              <w:ind w:left="370"/>
              <w:rPr>
                <w:rFonts w:ascii="宋体" w:hAnsi="宋体" w:eastAsia="宋体" w:cs="宋体"/>
                <w:sz w:val="23"/>
                <w:szCs w:val="23"/>
              </w:rPr>
            </w:pPr>
            <w:r>
              <w:rPr>
                <w:rFonts w:ascii="宋体" w:hAnsi="宋体" w:eastAsia="宋体" w:cs="宋体"/>
                <w:spacing w:val="-7"/>
                <w:sz w:val="23"/>
                <w:szCs w:val="23"/>
              </w:rPr>
              <w:t>误</w:t>
            </w:r>
            <w:r>
              <w:rPr>
                <w:rFonts w:ascii="宋体" w:hAnsi="宋体" w:eastAsia="宋体" w:cs="宋体"/>
                <w:spacing w:val="-4"/>
                <w:sz w:val="23"/>
                <w:szCs w:val="23"/>
              </w:rPr>
              <w:t>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2346" w:type="dxa"/>
            <w:vAlign w:val="top"/>
          </w:tcPr>
          <w:p>
            <w:pPr>
              <w:spacing w:before="106" w:line="223" w:lineRule="auto"/>
              <w:ind w:left="146"/>
              <w:rPr>
                <w:rFonts w:ascii="宋体" w:hAnsi="宋体" w:eastAsia="宋体" w:cs="宋体"/>
                <w:sz w:val="23"/>
                <w:szCs w:val="23"/>
              </w:rPr>
            </w:pPr>
            <w:r>
              <w:rPr>
                <w:rFonts w:ascii="宋体" w:hAnsi="宋体" w:eastAsia="宋体" w:cs="宋体"/>
                <w:spacing w:val="-6"/>
                <w:sz w:val="23"/>
                <w:szCs w:val="23"/>
              </w:rPr>
              <w:t>化</w:t>
            </w:r>
            <w:r>
              <w:rPr>
                <w:rFonts w:ascii="宋体" w:hAnsi="宋体" w:eastAsia="宋体" w:cs="宋体"/>
                <w:spacing w:val="-4"/>
                <w:sz w:val="23"/>
                <w:szCs w:val="23"/>
              </w:rPr>
              <w:t>石燃料燃烧CO</w:t>
            </w:r>
            <w:r>
              <w:rPr>
                <w:rFonts w:ascii="宋体" w:hAnsi="宋体" w:eastAsia="宋体" w:cs="宋体"/>
                <w:spacing w:val="-4"/>
                <w:position w:val="-3"/>
                <w:sz w:val="11"/>
                <w:szCs w:val="11"/>
              </w:rPr>
              <w:t>2</w:t>
            </w:r>
            <w:r>
              <w:rPr>
                <w:rFonts w:ascii="宋体" w:hAnsi="宋体" w:eastAsia="宋体" w:cs="宋体"/>
                <w:spacing w:val="-4"/>
                <w:sz w:val="23"/>
                <w:szCs w:val="23"/>
              </w:rPr>
              <w:t>排放</w:t>
            </w:r>
          </w:p>
        </w:tc>
        <w:tc>
          <w:tcPr>
            <w:tcW w:w="1424" w:type="dxa"/>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hint="eastAsia" w:ascii="宋体" w:hAnsi="宋体" w:eastAsia="宋体" w:cs="宋体"/>
                <w:sz w:val="23"/>
                <w:szCs w:val="23"/>
                <w:highlight w:val="none"/>
                <w:lang w:eastAsia="zh-CN"/>
              </w:rPr>
            </w:pPr>
            <w:r>
              <w:rPr>
                <w:rFonts w:hint="eastAsia" w:ascii="宋体" w:hAnsi="宋体" w:eastAsia="宋体" w:cs="宋体"/>
                <w:sz w:val="23"/>
                <w:szCs w:val="23"/>
                <w:highlight w:val="none"/>
                <w:lang w:eastAsia="zh-CN"/>
              </w:rPr>
              <w:t>101.696</w:t>
            </w:r>
          </w:p>
        </w:tc>
        <w:tc>
          <w:tcPr>
            <w:tcW w:w="1582" w:type="dxa"/>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hint="eastAsia" w:ascii="宋体" w:hAnsi="宋体" w:eastAsia="宋体" w:cs="宋体"/>
                <w:sz w:val="23"/>
                <w:szCs w:val="23"/>
                <w:highlight w:val="none"/>
                <w:lang w:eastAsia="zh-CN"/>
              </w:rPr>
            </w:pPr>
            <w:r>
              <w:rPr>
                <w:rFonts w:hint="eastAsia" w:ascii="宋体" w:hAnsi="宋体" w:eastAsia="宋体" w:cs="宋体"/>
                <w:sz w:val="23"/>
                <w:szCs w:val="23"/>
                <w:highlight w:val="none"/>
                <w:lang w:eastAsia="zh-CN"/>
              </w:rPr>
              <w:t>101.696</w:t>
            </w:r>
          </w:p>
        </w:tc>
        <w:tc>
          <w:tcPr>
            <w:tcW w:w="1556" w:type="dxa"/>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hint="eastAsia" w:ascii="宋体" w:hAnsi="宋体" w:eastAsia="宋体" w:cs="宋体"/>
                <w:sz w:val="23"/>
                <w:szCs w:val="23"/>
                <w:highlight w:val="none"/>
                <w:lang w:eastAsia="zh-CN"/>
              </w:rPr>
            </w:pPr>
            <w:r>
              <w:rPr>
                <w:rFonts w:hint="eastAsia" w:ascii="宋体" w:hAnsi="宋体" w:eastAsia="宋体" w:cs="宋体"/>
                <w:sz w:val="23"/>
                <w:szCs w:val="23"/>
                <w:highlight w:val="none"/>
                <w:lang w:eastAsia="zh-CN"/>
              </w:rPr>
              <w:t>101.696</w:t>
            </w:r>
          </w:p>
        </w:tc>
        <w:tc>
          <w:tcPr>
            <w:tcW w:w="1394" w:type="dxa"/>
            <w:vAlign w:val="top"/>
          </w:tcPr>
          <w:p>
            <w:pPr>
              <w:spacing w:before="105" w:line="309"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2346" w:type="dxa"/>
            <w:vAlign w:val="top"/>
          </w:tcPr>
          <w:p>
            <w:pPr>
              <w:spacing w:before="106" w:line="225" w:lineRule="auto"/>
              <w:ind w:left="148"/>
              <w:rPr>
                <w:rFonts w:ascii="宋体" w:hAnsi="宋体" w:eastAsia="宋体" w:cs="宋体"/>
                <w:sz w:val="23"/>
                <w:szCs w:val="23"/>
              </w:rPr>
            </w:pPr>
            <w:r>
              <w:rPr>
                <w:rFonts w:ascii="宋体" w:hAnsi="宋体" w:eastAsia="宋体" w:cs="宋体"/>
                <w:spacing w:val="-8"/>
                <w:sz w:val="23"/>
                <w:szCs w:val="23"/>
              </w:rPr>
              <w:t>工</w:t>
            </w:r>
            <w:r>
              <w:rPr>
                <w:rFonts w:ascii="宋体" w:hAnsi="宋体" w:eastAsia="宋体" w:cs="宋体"/>
                <w:spacing w:val="-4"/>
                <w:sz w:val="23"/>
                <w:szCs w:val="23"/>
              </w:rPr>
              <w:t>业生产过程CO</w:t>
            </w:r>
            <w:r>
              <w:rPr>
                <w:rFonts w:ascii="宋体" w:hAnsi="宋体" w:eastAsia="宋体" w:cs="宋体"/>
                <w:spacing w:val="-4"/>
                <w:position w:val="-3"/>
                <w:sz w:val="11"/>
                <w:szCs w:val="11"/>
              </w:rPr>
              <w:t>2</w:t>
            </w:r>
            <w:r>
              <w:rPr>
                <w:rFonts w:ascii="宋体" w:hAnsi="宋体" w:eastAsia="宋体" w:cs="宋体"/>
                <w:spacing w:val="-4"/>
                <w:sz w:val="23"/>
                <w:szCs w:val="23"/>
              </w:rPr>
              <w:t>排放</w:t>
            </w:r>
          </w:p>
        </w:tc>
        <w:tc>
          <w:tcPr>
            <w:tcW w:w="1424"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hint="eastAsia"/>
                <w:highlight w:val="none"/>
                <w:lang w:val="en-US" w:eastAsia="zh-CN"/>
              </w:rPr>
              <w:t>0</w:t>
            </w:r>
          </w:p>
        </w:tc>
        <w:tc>
          <w:tcPr>
            <w:tcW w:w="1582"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hint="eastAsia"/>
                <w:highlight w:val="none"/>
                <w:lang w:val="en-US" w:eastAsia="zh-CN"/>
              </w:rPr>
              <w:t>0</w:t>
            </w:r>
          </w:p>
        </w:tc>
        <w:tc>
          <w:tcPr>
            <w:tcW w:w="1556"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hint="eastAsia"/>
                <w:highlight w:val="none"/>
                <w:lang w:val="en-US" w:eastAsia="zh-CN"/>
              </w:rPr>
              <w:t>0</w:t>
            </w:r>
          </w:p>
        </w:tc>
        <w:tc>
          <w:tcPr>
            <w:tcW w:w="1394" w:type="dxa"/>
            <w:vAlign w:val="top"/>
          </w:tcPr>
          <w:p>
            <w:pPr>
              <w:spacing w:before="105" w:line="309"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2346" w:type="dxa"/>
            <w:vAlign w:val="top"/>
          </w:tcPr>
          <w:p>
            <w:pPr>
              <w:spacing w:before="107" w:line="225" w:lineRule="auto"/>
              <w:ind w:left="148"/>
              <w:rPr>
                <w:rFonts w:ascii="宋体" w:hAnsi="宋体" w:eastAsia="宋体" w:cs="宋体"/>
                <w:sz w:val="23"/>
                <w:szCs w:val="23"/>
              </w:rPr>
            </w:pPr>
            <w:r>
              <w:rPr>
                <w:rFonts w:ascii="宋体" w:hAnsi="宋体" w:eastAsia="宋体" w:cs="宋体"/>
                <w:spacing w:val="-8"/>
                <w:sz w:val="23"/>
                <w:szCs w:val="23"/>
              </w:rPr>
              <w:t>工</w:t>
            </w:r>
            <w:r>
              <w:rPr>
                <w:rFonts w:ascii="宋体" w:hAnsi="宋体" w:eastAsia="宋体" w:cs="宋体"/>
                <w:spacing w:val="-4"/>
                <w:sz w:val="23"/>
                <w:szCs w:val="23"/>
              </w:rPr>
              <w:t>业生产过程N</w:t>
            </w:r>
            <w:r>
              <w:rPr>
                <w:rFonts w:ascii="宋体" w:hAnsi="宋体" w:eastAsia="宋体" w:cs="宋体"/>
                <w:spacing w:val="-4"/>
                <w:position w:val="-3"/>
                <w:sz w:val="11"/>
                <w:szCs w:val="11"/>
              </w:rPr>
              <w:t>2</w:t>
            </w:r>
            <w:r>
              <w:rPr>
                <w:rFonts w:ascii="宋体" w:hAnsi="宋体" w:eastAsia="宋体" w:cs="宋体"/>
                <w:spacing w:val="-4"/>
                <w:sz w:val="23"/>
                <w:szCs w:val="23"/>
              </w:rPr>
              <w:t>O排放</w:t>
            </w:r>
          </w:p>
        </w:tc>
        <w:tc>
          <w:tcPr>
            <w:tcW w:w="1424" w:type="dxa"/>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582" w:type="dxa"/>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556" w:type="dxa"/>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394" w:type="dxa"/>
            <w:vAlign w:val="top"/>
          </w:tcPr>
          <w:p>
            <w:pPr>
              <w:spacing w:before="106" w:line="309"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2346" w:type="dxa"/>
            <w:vAlign w:val="top"/>
          </w:tcPr>
          <w:p>
            <w:pPr>
              <w:spacing w:before="107" w:line="223" w:lineRule="auto"/>
              <w:ind w:left="479"/>
              <w:rPr>
                <w:rFonts w:ascii="宋体" w:hAnsi="宋体" w:eastAsia="宋体" w:cs="宋体"/>
                <w:sz w:val="23"/>
                <w:szCs w:val="23"/>
              </w:rPr>
            </w:pPr>
            <w:r>
              <w:rPr>
                <w:rFonts w:ascii="宋体" w:hAnsi="宋体" w:eastAsia="宋体" w:cs="宋体"/>
                <w:spacing w:val="-9"/>
                <w:sz w:val="23"/>
                <w:szCs w:val="23"/>
              </w:rPr>
              <w:t>C</w:t>
            </w:r>
            <w:r>
              <w:rPr>
                <w:rFonts w:ascii="宋体" w:hAnsi="宋体" w:eastAsia="宋体" w:cs="宋体"/>
                <w:spacing w:val="-8"/>
                <w:sz w:val="23"/>
                <w:szCs w:val="23"/>
              </w:rPr>
              <w:t>O</w:t>
            </w:r>
            <w:r>
              <w:rPr>
                <w:rFonts w:ascii="宋体" w:hAnsi="宋体" w:eastAsia="宋体" w:cs="宋体"/>
                <w:spacing w:val="-9"/>
                <w:position w:val="-3"/>
                <w:sz w:val="11"/>
                <w:szCs w:val="11"/>
              </w:rPr>
              <w:t xml:space="preserve">2 </w:t>
            </w:r>
            <w:r>
              <w:rPr>
                <w:rFonts w:ascii="宋体" w:hAnsi="宋体" w:eastAsia="宋体" w:cs="宋体"/>
                <w:spacing w:val="-9"/>
                <w:sz w:val="23"/>
                <w:szCs w:val="23"/>
              </w:rPr>
              <w:t>回收利用量</w:t>
            </w:r>
          </w:p>
        </w:tc>
        <w:tc>
          <w:tcPr>
            <w:tcW w:w="1424" w:type="dxa"/>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582" w:type="dxa"/>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556" w:type="dxa"/>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ascii="宋体" w:hAnsi="宋体" w:eastAsia="宋体" w:cs="宋体"/>
                <w:sz w:val="23"/>
                <w:szCs w:val="23"/>
                <w:highlight w:val="none"/>
              </w:rPr>
              <w:t>0</w:t>
            </w:r>
          </w:p>
        </w:tc>
        <w:tc>
          <w:tcPr>
            <w:tcW w:w="1394" w:type="dxa"/>
            <w:vAlign w:val="top"/>
          </w:tcPr>
          <w:p>
            <w:pPr>
              <w:spacing w:before="107" w:line="308"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2346" w:type="dxa"/>
            <w:vAlign w:val="top"/>
          </w:tcPr>
          <w:p>
            <w:pPr>
              <w:spacing w:before="84" w:line="255" w:lineRule="auto"/>
              <w:ind w:left="814" w:right="35" w:hanging="753"/>
              <w:rPr>
                <w:rFonts w:ascii="宋体" w:hAnsi="宋体" w:eastAsia="宋体" w:cs="宋体"/>
                <w:sz w:val="23"/>
                <w:szCs w:val="23"/>
              </w:rPr>
            </w:pPr>
            <w:r>
              <w:rPr>
                <w:rFonts w:ascii="宋体" w:hAnsi="宋体" w:eastAsia="宋体" w:cs="宋体"/>
                <w:spacing w:val="-10"/>
                <w:sz w:val="23"/>
                <w:szCs w:val="23"/>
              </w:rPr>
              <w:t>净</w:t>
            </w:r>
            <w:r>
              <w:rPr>
                <w:rFonts w:ascii="宋体" w:hAnsi="宋体" w:eastAsia="宋体" w:cs="宋体"/>
                <w:spacing w:val="-7"/>
                <w:sz w:val="23"/>
                <w:szCs w:val="23"/>
              </w:rPr>
              <w:t>购</w:t>
            </w:r>
            <w:r>
              <w:rPr>
                <w:rFonts w:ascii="宋体" w:hAnsi="宋体" w:eastAsia="宋体" w:cs="宋体"/>
                <w:spacing w:val="-5"/>
                <w:sz w:val="23"/>
                <w:szCs w:val="23"/>
              </w:rPr>
              <w:t>入电力消费引起的</w:t>
            </w:r>
            <w:r>
              <w:rPr>
                <w:rFonts w:ascii="宋体" w:hAnsi="宋体" w:eastAsia="宋体" w:cs="宋体"/>
                <w:sz w:val="23"/>
                <w:szCs w:val="23"/>
              </w:rPr>
              <w:t xml:space="preserve"> </w:t>
            </w:r>
            <w:r>
              <w:rPr>
                <w:rFonts w:ascii="宋体" w:hAnsi="宋体" w:eastAsia="宋体" w:cs="宋体"/>
                <w:spacing w:val="-1"/>
                <w:sz w:val="23"/>
                <w:szCs w:val="23"/>
              </w:rPr>
              <w:t>CO</w:t>
            </w:r>
            <w:r>
              <w:rPr>
                <w:rFonts w:ascii="宋体" w:hAnsi="宋体" w:eastAsia="宋体" w:cs="宋体"/>
                <w:spacing w:val="-2"/>
                <w:position w:val="-3"/>
                <w:sz w:val="11"/>
                <w:szCs w:val="11"/>
              </w:rPr>
              <w:t>2</w:t>
            </w:r>
            <w:r>
              <w:rPr>
                <w:rFonts w:ascii="宋体" w:hAnsi="宋体" w:eastAsia="宋体" w:cs="宋体"/>
                <w:spacing w:val="-2"/>
                <w:sz w:val="23"/>
                <w:szCs w:val="23"/>
              </w:rPr>
              <w:t>排</w:t>
            </w:r>
            <w:r>
              <w:rPr>
                <w:rFonts w:ascii="宋体" w:hAnsi="宋体" w:eastAsia="宋体" w:cs="宋体"/>
                <w:spacing w:val="-1"/>
                <w:sz w:val="23"/>
                <w:szCs w:val="23"/>
              </w:rPr>
              <w:t>放</w:t>
            </w:r>
          </w:p>
        </w:tc>
        <w:tc>
          <w:tcPr>
            <w:tcW w:w="1424"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hint="eastAsia"/>
                <w:highlight w:val="none"/>
                <w:lang w:val="en-US" w:eastAsia="zh-CN"/>
              </w:rPr>
              <w:t>3518.751</w:t>
            </w:r>
          </w:p>
        </w:tc>
        <w:tc>
          <w:tcPr>
            <w:tcW w:w="1582"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hint="eastAsia"/>
                <w:highlight w:val="none"/>
                <w:lang w:val="en-US" w:eastAsia="zh-CN"/>
              </w:rPr>
              <w:t>3518.751</w:t>
            </w:r>
          </w:p>
        </w:tc>
        <w:tc>
          <w:tcPr>
            <w:tcW w:w="1556" w:type="dxa"/>
            <w:vAlign w:val="center"/>
          </w:tcPr>
          <w:p>
            <w:pPr>
              <w:pStyle w:val="17"/>
              <w:keepNext w:val="0"/>
              <w:keepLines w:val="0"/>
              <w:pageBreakBefore w:val="0"/>
              <w:widowControl/>
              <w:kinsoku w:val="0"/>
              <w:wordWrap/>
              <w:overflowPunct/>
              <w:topLinePunct w:val="0"/>
              <w:autoSpaceDE w:val="0"/>
              <w:autoSpaceDN w:val="0"/>
              <w:bidi w:val="0"/>
              <w:adjustRightInd/>
              <w:snapToGrid/>
              <w:spacing w:line="240" w:lineRule="auto"/>
              <w:ind w:left="0" w:leftChars="0"/>
              <w:jc w:val="center"/>
              <w:textAlignment w:val="baseline"/>
              <w:rPr>
                <w:rFonts w:ascii="宋体" w:hAnsi="宋体" w:eastAsia="宋体" w:cs="宋体"/>
                <w:sz w:val="23"/>
                <w:szCs w:val="23"/>
                <w:highlight w:val="none"/>
              </w:rPr>
            </w:pPr>
            <w:r>
              <w:rPr>
                <w:rFonts w:hint="eastAsia"/>
                <w:highlight w:val="none"/>
                <w:lang w:val="en-US" w:eastAsia="zh-CN"/>
              </w:rPr>
              <w:t>3518.751</w:t>
            </w:r>
          </w:p>
        </w:tc>
        <w:tc>
          <w:tcPr>
            <w:tcW w:w="1394" w:type="dxa"/>
            <w:vAlign w:val="top"/>
          </w:tcPr>
          <w:p>
            <w:pPr>
              <w:spacing w:before="241" w:line="308"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3770" w:type="dxa"/>
            <w:gridSpan w:val="2"/>
            <w:tcBorders>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snapToGrid/>
              <w:spacing w:line="223" w:lineRule="auto"/>
              <w:ind w:left="0"/>
              <w:jc w:val="center"/>
              <w:textAlignment w:val="baseline"/>
              <w:rPr>
                <w:rFonts w:ascii="宋体" w:hAnsi="宋体" w:eastAsia="宋体" w:cs="宋体"/>
                <w:sz w:val="23"/>
                <w:szCs w:val="23"/>
              </w:rPr>
            </w:pPr>
            <w:r>
              <w:rPr>
                <w:rFonts w:ascii="宋体" w:hAnsi="宋体" w:eastAsia="宋体" w:cs="宋体"/>
                <w:spacing w:val="-8"/>
                <w:sz w:val="23"/>
                <w:szCs w:val="23"/>
              </w:rPr>
              <w:t>企业温室</w:t>
            </w:r>
            <w:r>
              <w:rPr>
                <w:rFonts w:ascii="宋体" w:hAnsi="宋体" w:eastAsia="宋体" w:cs="宋体"/>
                <w:spacing w:val="-4"/>
                <w:sz w:val="23"/>
                <w:szCs w:val="23"/>
              </w:rPr>
              <w:t>气体排放总量 (吨CO</w:t>
            </w:r>
            <w:r>
              <w:rPr>
                <w:rFonts w:ascii="宋体" w:hAnsi="宋体" w:eastAsia="宋体" w:cs="宋体"/>
                <w:spacing w:val="-4"/>
                <w:position w:val="-3"/>
                <w:sz w:val="11"/>
                <w:szCs w:val="11"/>
              </w:rPr>
              <w:t>2</w:t>
            </w:r>
            <w:r>
              <w:rPr>
                <w:rFonts w:ascii="宋体" w:hAnsi="宋体" w:eastAsia="宋体" w:cs="宋体"/>
                <w:spacing w:val="-4"/>
                <w:sz w:val="23"/>
                <w:szCs w:val="23"/>
              </w:rPr>
              <w:t>当量)</w:t>
            </w:r>
          </w:p>
        </w:tc>
        <w:tc>
          <w:tcPr>
            <w:tcW w:w="1582" w:type="dxa"/>
            <w:tcBorders>
              <w:bottom w:val="single" w:color="auto" w:sz="4" w:space="0"/>
            </w:tcBorders>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baseline"/>
              <w:rPr>
                <w:rFonts w:ascii="宋体" w:hAnsi="宋体" w:eastAsia="宋体" w:cs="宋体"/>
                <w:sz w:val="23"/>
                <w:szCs w:val="23"/>
                <w:highlight w:val="none"/>
              </w:rPr>
            </w:pPr>
            <w:r>
              <w:rPr>
                <w:rFonts w:hint="eastAsia"/>
                <w:highlight w:val="none"/>
                <w:lang w:val="en-US" w:eastAsia="zh-CN"/>
              </w:rPr>
              <w:t>3620.447</w:t>
            </w:r>
          </w:p>
        </w:tc>
        <w:tc>
          <w:tcPr>
            <w:tcW w:w="1556" w:type="dxa"/>
            <w:tcBorders>
              <w:bottom w:val="single" w:color="auto" w:sz="4" w:space="0"/>
            </w:tcBorders>
            <w:vAlign w:val="center"/>
          </w:tcPr>
          <w:p>
            <w:pPr>
              <w:pStyle w:val="17"/>
              <w:keepNext w:val="0"/>
              <w:keepLines w:val="0"/>
              <w:pageBreakBefore w:val="0"/>
              <w:widowControl/>
              <w:kinsoku w:val="0"/>
              <w:wordWrap/>
              <w:overflowPunct/>
              <w:topLinePunct w:val="0"/>
              <w:autoSpaceDE w:val="0"/>
              <w:autoSpaceDN w:val="0"/>
              <w:bidi w:val="0"/>
              <w:adjustRightInd/>
              <w:snapToGrid/>
              <w:ind w:left="0" w:leftChars="0"/>
              <w:jc w:val="center"/>
              <w:textAlignment w:val="baseline"/>
              <w:rPr>
                <w:rFonts w:ascii="宋体" w:hAnsi="宋体" w:eastAsia="宋体" w:cs="宋体"/>
                <w:sz w:val="23"/>
                <w:szCs w:val="23"/>
                <w:highlight w:val="none"/>
              </w:rPr>
            </w:pPr>
            <w:r>
              <w:rPr>
                <w:rFonts w:hint="eastAsia"/>
                <w:highlight w:val="none"/>
                <w:lang w:val="en-US" w:eastAsia="zh-CN"/>
              </w:rPr>
              <w:t>3620.447</w:t>
            </w:r>
          </w:p>
        </w:tc>
        <w:tc>
          <w:tcPr>
            <w:tcW w:w="1394" w:type="dxa"/>
            <w:vAlign w:val="top"/>
          </w:tcPr>
          <w:p>
            <w:pPr>
              <w:spacing w:before="113" w:line="309" w:lineRule="exact"/>
              <w:ind w:left="595"/>
              <w:rPr>
                <w:rFonts w:ascii="宋体" w:hAnsi="宋体" w:eastAsia="宋体" w:cs="宋体"/>
                <w:sz w:val="23"/>
                <w:szCs w:val="23"/>
              </w:rPr>
            </w:pPr>
            <w:r>
              <w:rPr>
                <w:rFonts w:ascii="宋体" w:hAnsi="宋体" w:eastAsia="宋体" w:cs="宋体"/>
                <w:spacing w:val="-4"/>
                <w:position w:val="1"/>
                <w:sz w:val="23"/>
                <w:szCs w:val="23"/>
              </w:rPr>
              <w:t>0</w:t>
            </w:r>
            <w:r>
              <w:rPr>
                <w:rFonts w:ascii="宋体" w:hAnsi="宋体" w:eastAsia="宋体" w:cs="宋体"/>
                <w:spacing w:val="-3"/>
                <w:position w:val="1"/>
                <w:sz w:val="23"/>
                <w:szCs w:val="23"/>
              </w:rPr>
              <w:t>%</w:t>
            </w:r>
          </w:p>
        </w:tc>
      </w:tr>
    </w:tbl>
    <w:p>
      <w:pPr>
        <w:pStyle w:val="5"/>
        <w:bidi w:val="0"/>
      </w:pPr>
      <w:bookmarkStart w:id="65" w:name="_Toc28508"/>
      <w:r>
        <w:t>4.2.2补充数据表填报的二氧化碳排放量声明</w:t>
      </w:r>
      <w:bookmarkEnd w:id="65"/>
    </w:p>
    <w:p>
      <w:pPr>
        <w:pStyle w:val="8"/>
        <w:bidi w:val="0"/>
      </w:pPr>
      <w:r>
        <w:t>受核查方为非碳交易企业，不存在补充数据表的核查，故补充数据 表的二氧化碳排放量为0tCO</w:t>
      </w:r>
      <w:r>
        <w:rPr>
          <w:vertAlign w:val="subscript"/>
        </w:rPr>
        <w:t>2</w:t>
      </w:r>
      <w:r>
        <w:t>e。</w:t>
      </w:r>
    </w:p>
    <w:p>
      <w:pPr>
        <w:pStyle w:val="5"/>
        <w:bidi w:val="0"/>
      </w:pPr>
      <w:bookmarkStart w:id="66" w:name="_bookmark34"/>
      <w:bookmarkEnd w:id="66"/>
      <w:bookmarkStart w:id="67" w:name="_Toc24047"/>
      <w:r>
        <w:t>4.2.3排放量存在异常波动的原因说明</w:t>
      </w:r>
      <w:bookmarkEnd w:id="67"/>
    </w:p>
    <w:p>
      <w:pPr>
        <w:pStyle w:val="8"/>
        <w:bidi w:val="0"/>
      </w:pPr>
      <w:r>
        <w:rPr>
          <w:rFonts w:hint="eastAsia"/>
          <w:lang w:eastAsia="zh-CN"/>
        </w:rPr>
        <w:t>浙江群展精密紧固件股份有限公司2022年</w:t>
      </w:r>
      <w:r>
        <w:t>度未做</w:t>
      </w:r>
      <w:r>
        <w:rPr>
          <w:rFonts w:hint="eastAsia"/>
          <w:lang w:val="en-US" w:eastAsia="zh-CN"/>
        </w:rPr>
        <w:t>第三方</w:t>
      </w:r>
      <w:r>
        <w:t>碳核查工作，排放量不具体进行波动分析。</w:t>
      </w:r>
    </w:p>
    <w:p>
      <w:pPr>
        <w:pStyle w:val="4"/>
        <w:bidi w:val="0"/>
      </w:pPr>
      <w:bookmarkStart w:id="68" w:name="_bookmark35"/>
      <w:bookmarkEnd w:id="68"/>
      <w:bookmarkStart w:id="69" w:name="_Toc22365"/>
      <w:r>
        <w:t>4.3</w:t>
      </w:r>
      <w:r>
        <w:rPr>
          <w:rFonts w:hint="eastAsia"/>
          <w:lang w:val="en-US" w:eastAsia="zh-CN"/>
        </w:rPr>
        <w:t xml:space="preserve">  </w:t>
      </w:r>
      <w:r>
        <w:t>核查过程中未覆盖的问题或者需要特别说明的问题描述</w:t>
      </w:r>
      <w:bookmarkEnd w:id="69"/>
    </w:p>
    <w:p>
      <w:pPr>
        <w:pStyle w:val="8"/>
        <w:bidi w:val="0"/>
      </w:pPr>
      <w:r>
        <w:rPr>
          <w:rFonts w:hint="eastAsia"/>
          <w:lang w:eastAsia="zh-CN"/>
        </w:rPr>
        <w:t>浙江群展精密紧固件股份有限公司2022</w:t>
      </w:r>
      <w:r>
        <w:t>年度的核查过程中无未覆盖的问题，无特别需要说明的问题。</w:t>
      </w:r>
    </w:p>
    <w:p>
      <w:pPr>
        <w:pStyle w:val="8"/>
        <w:bidi w:val="0"/>
        <w:sectPr>
          <w:headerReference r:id="rId18" w:type="default"/>
          <w:footerReference r:id="rId19" w:type="default"/>
          <w:pgSz w:w="11906" w:h="16840"/>
          <w:pgMar w:top="1171" w:right="1785" w:bottom="1025" w:left="1785" w:header="901" w:footer="852" w:gutter="0"/>
          <w:pgNumType w:fmt="decimal"/>
          <w:cols w:space="720" w:num="1"/>
        </w:sectPr>
      </w:pPr>
    </w:p>
    <w:p>
      <w:pPr>
        <w:pStyle w:val="2"/>
        <w:bidi w:val="0"/>
        <w:rPr>
          <w:highlight w:val="yellow"/>
        </w:rPr>
      </w:pPr>
      <w:bookmarkStart w:id="70" w:name="_bookmark36"/>
      <w:bookmarkEnd w:id="70"/>
      <w:bookmarkStart w:id="71" w:name="_Toc27922"/>
      <w:r>
        <w:t xml:space="preserve">第五章 </w:t>
      </w:r>
      <w:r>
        <w:rPr>
          <w:highlight w:val="none"/>
        </w:rPr>
        <w:t>附件</w:t>
      </w:r>
      <w:bookmarkEnd w:id="71"/>
    </w:p>
    <w:p>
      <w:pPr>
        <w:pStyle w:val="4"/>
        <w:bidi w:val="0"/>
      </w:pPr>
      <w:bookmarkStart w:id="72" w:name="_bookmark37"/>
      <w:bookmarkEnd w:id="72"/>
      <w:bookmarkStart w:id="73" w:name="_Toc29095"/>
      <w:r>
        <w:t>附件1：不符合清单</w:t>
      </w:r>
      <w:bookmarkEnd w:id="73"/>
    </w:p>
    <w:p>
      <w:pPr>
        <w:spacing w:line="198" w:lineRule="exact"/>
      </w:pPr>
    </w:p>
    <w:tbl>
      <w:tblPr>
        <w:tblStyle w:val="16"/>
        <w:tblW w:w="852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90"/>
        <w:gridCol w:w="2406"/>
        <w:gridCol w:w="3542"/>
        <w:gridCol w:w="11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390" w:type="dxa"/>
            <w:vAlign w:val="top"/>
          </w:tcPr>
          <w:p>
            <w:pPr>
              <w:spacing w:before="107" w:line="229" w:lineRule="auto"/>
              <w:ind w:left="464"/>
              <w:rPr>
                <w:rFonts w:ascii="宋体" w:hAnsi="宋体" w:eastAsia="宋体" w:cs="宋体"/>
                <w:sz w:val="23"/>
                <w:szCs w:val="23"/>
              </w:rPr>
            </w:pPr>
            <w:r>
              <w:rPr>
                <w:rFonts w:ascii="宋体" w:hAnsi="宋体" w:eastAsia="宋体" w:cs="宋体"/>
                <w:spacing w:val="3"/>
                <w:sz w:val="23"/>
                <w:szCs w:val="23"/>
              </w:rPr>
              <w:t>序号</w:t>
            </w:r>
          </w:p>
        </w:tc>
        <w:tc>
          <w:tcPr>
            <w:tcW w:w="2406" w:type="dxa"/>
            <w:vAlign w:val="top"/>
          </w:tcPr>
          <w:p>
            <w:pPr>
              <w:spacing w:before="108" w:line="227" w:lineRule="auto"/>
              <w:ind w:left="505"/>
              <w:rPr>
                <w:rFonts w:ascii="宋体" w:hAnsi="宋体" w:eastAsia="宋体" w:cs="宋体"/>
                <w:sz w:val="23"/>
                <w:szCs w:val="23"/>
              </w:rPr>
            </w:pPr>
            <w:r>
              <w:rPr>
                <w:rFonts w:ascii="宋体" w:hAnsi="宋体" w:eastAsia="宋体" w:cs="宋体"/>
                <w:spacing w:val="7"/>
                <w:sz w:val="23"/>
                <w:szCs w:val="23"/>
              </w:rPr>
              <w:t>不</w:t>
            </w:r>
            <w:r>
              <w:rPr>
                <w:rFonts w:ascii="宋体" w:hAnsi="宋体" w:eastAsia="宋体" w:cs="宋体"/>
                <w:spacing w:val="4"/>
                <w:sz w:val="23"/>
                <w:szCs w:val="23"/>
              </w:rPr>
              <w:t>符合项描述</w:t>
            </w:r>
          </w:p>
        </w:tc>
        <w:tc>
          <w:tcPr>
            <w:tcW w:w="3542" w:type="dxa"/>
            <w:vAlign w:val="top"/>
          </w:tcPr>
          <w:p>
            <w:pPr>
              <w:spacing w:before="108" w:line="227" w:lineRule="auto"/>
              <w:ind w:left="11"/>
              <w:rPr>
                <w:rFonts w:ascii="宋体" w:hAnsi="宋体" w:eastAsia="宋体" w:cs="宋体"/>
                <w:sz w:val="23"/>
                <w:szCs w:val="23"/>
              </w:rPr>
            </w:pPr>
            <w:r>
              <w:rPr>
                <w:rFonts w:ascii="宋体" w:hAnsi="宋体" w:eastAsia="宋体" w:cs="宋体"/>
                <w:spacing w:val="5"/>
                <w:sz w:val="23"/>
                <w:szCs w:val="23"/>
              </w:rPr>
              <w:t>重点排放单位原因分析及整改措施</w:t>
            </w:r>
          </w:p>
        </w:tc>
        <w:tc>
          <w:tcPr>
            <w:tcW w:w="1189" w:type="dxa"/>
            <w:vAlign w:val="top"/>
          </w:tcPr>
          <w:p>
            <w:pPr>
              <w:spacing w:before="107" w:line="228" w:lineRule="auto"/>
              <w:ind w:left="133"/>
              <w:rPr>
                <w:rFonts w:ascii="宋体" w:hAnsi="宋体" w:eastAsia="宋体" w:cs="宋体"/>
                <w:sz w:val="23"/>
                <w:szCs w:val="23"/>
              </w:rPr>
            </w:pPr>
            <w:r>
              <w:rPr>
                <w:rFonts w:ascii="宋体" w:hAnsi="宋体" w:eastAsia="宋体" w:cs="宋体"/>
                <w:spacing w:val="4"/>
                <w:sz w:val="23"/>
                <w:szCs w:val="23"/>
              </w:rPr>
              <w:t>核查结</w:t>
            </w:r>
            <w:r>
              <w:rPr>
                <w:rFonts w:ascii="宋体" w:hAnsi="宋体" w:eastAsia="宋体" w:cs="宋体"/>
                <w:spacing w:val="3"/>
                <w:sz w:val="23"/>
                <w:szCs w:val="23"/>
              </w:rPr>
              <w:t>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jc w:val="center"/>
        </w:trPr>
        <w:tc>
          <w:tcPr>
            <w:tcW w:w="1390" w:type="dxa"/>
            <w:vAlign w:val="top"/>
          </w:tcPr>
          <w:p>
            <w:pPr>
              <w:spacing w:before="148" w:line="195" w:lineRule="auto"/>
              <w:ind w:left="659"/>
              <w:rPr>
                <w:rFonts w:ascii="Times New Roman" w:hAnsi="Times New Roman" w:eastAsia="Times New Roman" w:cs="Times New Roman"/>
                <w:sz w:val="23"/>
                <w:szCs w:val="23"/>
              </w:rPr>
            </w:pPr>
            <w:r>
              <w:rPr>
                <w:rFonts w:ascii="Times New Roman" w:hAnsi="Times New Roman" w:eastAsia="Times New Roman" w:cs="Times New Roman"/>
                <w:sz w:val="23"/>
                <w:szCs w:val="23"/>
              </w:rPr>
              <w:t>1</w:t>
            </w:r>
          </w:p>
        </w:tc>
        <w:tc>
          <w:tcPr>
            <w:tcW w:w="2406" w:type="dxa"/>
            <w:vAlign w:val="top"/>
          </w:tcPr>
          <w:p>
            <w:pPr>
              <w:spacing w:before="107" w:line="228" w:lineRule="auto"/>
              <w:ind w:left="1093"/>
              <w:rPr>
                <w:rFonts w:ascii="宋体" w:hAnsi="宋体" w:eastAsia="宋体" w:cs="宋体"/>
                <w:sz w:val="23"/>
                <w:szCs w:val="23"/>
              </w:rPr>
            </w:pPr>
            <w:r>
              <w:rPr>
                <w:rFonts w:ascii="宋体" w:hAnsi="宋体" w:eastAsia="宋体" w:cs="宋体"/>
                <w:sz w:val="23"/>
                <w:szCs w:val="23"/>
              </w:rPr>
              <w:t>无</w:t>
            </w:r>
          </w:p>
        </w:tc>
        <w:tc>
          <w:tcPr>
            <w:tcW w:w="3542" w:type="dxa"/>
            <w:vAlign w:val="top"/>
          </w:tcPr>
          <w:p>
            <w:pPr>
              <w:spacing w:before="107" w:line="228" w:lineRule="auto"/>
              <w:ind w:left="1663"/>
              <w:rPr>
                <w:rFonts w:ascii="宋体" w:hAnsi="宋体" w:eastAsia="宋体" w:cs="宋体"/>
                <w:sz w:val="23"/>
                <w:szCs w:val="23"/>
              </w:rPr>
            </w:pPr>
            <w:r>
              <w:rPr>
                <w:rFonts w:ascii="宋体" w:hAnsi="宋体" w:eastAsia="宋体" w:cs="宋体"/>
                <w:sz w:val="23"/>
                <w:szCs w:val="23"/>
              </w:rPr>
              <w:t>无</w:t>
            </w:r>
          </w:p>
        </w:tc>
        <w:tc>
          <w:tcPr>
            <w:tcW w:w="1189" w:type="dxa"/>
            <w:vAlign w:val="top"/>
          </w:tcPr>
          <w:p>
            <w:pPr>
              <w:spacing w:before="107" w:line="228" w:lineRule="auto"/>
              <w:ind w:left="485"/>
              <w:rPr>
                <w:rFonts w:ascii="宋体" w:hAnsi="宋体" w:eastAsia="宋体" w:cs="宋体"/>
                <w:sz w:val="23"/>
                <w:szCs w:val="23"/>
              </w:rPr>
            </w:pPr>
            <w:r>
              <w:rPr>
                <w:rFonts w:ascii="宋体" w:hAnsi="宋体" w:eastAsia="宋体" w:cs="宋体"/>
                <w:sz w:val="23"/>
                <w:szCs w:val="23"/>
              </w:rPr>
              <w:t>无</w:t>
            </w:r>
          </w:p>
        </w:tc>
      </w:tr>
    </w:tbl>
    <w:p>
      <w:pPr>
        <w:spacing w:line="255" w:lineRule="auto"/>
        <w:rPr>
          <w:rFonts w:ascii="Arial"/>
          <w:sz w:val="21"/>
        </w:rPr>
      </w:pPr>
    </w:p>
    <w:p>
      <w:pPr>
        <w:pStyle w:val="4"/>
        <w:bidi w:val="0"/>
      </w:pPr>
      <w:bookmarkStart w:id="74" w:name="_bookmark38"/>
      <w:bookmarkEnd w:id="74"/>
      <w:bookmarkStart w:id="75" w:name="_Toc28608"/>
      <w:r>
        <w:t>附件2：对今后核算活动的建议</w:t>
      </w:r>
      <w:bookmarkEnd w:id="75"/>
    </w:p>
    <w:p>
      <w:pPr>
        <w:spacing w:line="198" w:lineRule="exact"/>
      </w:pPr>
    </w:p>
    <w:tbl>
      <w:tblPr>
        <w:tblStyle w:val="16"/>
        <w:tblW w:w="852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5"/>
        <w:gridCol w:w="72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1315" w:type="dxa"/>
            <w:vAlign w:val="top"/>
          </w:tcPr>
          <w:p>
            <w:pPr>
              <w:spacing w:before="105" w:line="229" w:lineRule="auto"/>
              <w:ind w:left="425"/>
              <w:rPr>
                <w:rFonts w:ascii="宋体" w:hAnsi="宋体" w:eastAsia="宋体" w:cs="宋体"/>
                <w:sz w:val="23"/>
                <w:szCs w:val="23"/>
              </w:rPr>
            </w:pPr>
            <w:r>
              <w:rPr>
                <w:rFonts w:ascii="宋体" w:hAnsi="宋体" w:eastAsia="宋体" w:cs="宋体"/>
                <w:spacing w:val="3"/>
                <w:sz w:val="23"/>
                <w:szCs w:val="23"/>
              </w:rPr>
              <w:t>序号</w:t>
            </w:r>
          </w:p>
        </w:tc>
        <w:tc>
          <w:tcPr>
            <w:tcW w:w="7211" w:type="dxa"/>
            <w:vAlign w:val="top"/>
          </w:tcPr>
          <w:p>
            <w:pPr>
              <w:spacing w:before="105" w:line="228" w:lineRule="auto"/>
              <w:ind w:left="3379"/>
              <w:rPr>
                <w:rFonts w:ascii="宋体" w:hAnsi="宋体" w:eastAsia="宋体" w:cs="宋体"/>
                <w:sz w:val="23"/>
                <w:szCs w:val="23"/>
              </w:rPr>
            </w:pPr>
            <w:r>
              <w:rPr>
                <w:rFonts w:ascii="宋体" w:hAnsi="宋体" w:eastAsia="宋体" w:cs="宋体"/>
                <w:spacing w:val="1"/>
                <w:sz w:val="23"/>
                <w:szCs w:val="23"/>
              </w:rPr>
              <w:t>建议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2" w:hRule="atLeast"/>
          <w:jc w:val="center"/>
        </w:trPr>
        <w:tc>
          <w:tcPr>
            <w:tcW w:w="1315" w:type="dxa"/>
            <w:vAlign w:val="top"/>
          </w:tcPr>
          <w:p>
            <w:pPr>
              <w:spacing w:before="144" w:line="195" w:lineRule="auto"/>
              <w:ind w:left="622"/>
              <w:rPr>
                <w:rFonts w:ascii="Times New Roman" w:hAnsi="Times New Roman" w:eastAsia="Times New Roman" w:cs="Times New Roman"/>
                <w:sz w:val="23"/>
                <w:szCs w:val="23"/>
              </w:rPr>
            </w:pPr>
            <w:r>
              <w:rPr>
                <w:rFonts w:ascii="Times New Roman" w:hAnsi="Times New Roman" w:eastAsia="Times New Roman" w:cs="Times New Roman"/>
                <w:sz w:val="23"/>
                <w:szCs w:val="23"/>
              </w:rPr>
              <w:t>1</w:t>
            </w:r>
          </w:p>
        </w:tc>
        <w:tc>
          <w:tcPr>
            <w:tcW w:w="7211" w:type="dxa"/>
            <w:vAlign w:val="top"/>
          </w:tcPr>
          <w:p>
            <w:pPr>
              <w:spacing w:before="104" w:line="227" w:lineRule="auto"/>
              <w:ind w:left="1373"/>
              <w:rPr>
                <w:rFonts w:ascii="宋体" w:hAnsi="宋体" w:eastAsia="宋体" w:cs="宋体"/>
                <w:sz w:val="23"/>
                <w:szCs w:val="23"/>
              </w:rPr>
            </w:pPr>
            <w:r>
              <w:rPr>
                <w:rFonts w:ascii="宋体" w:hAnsi="宋体" w:eastAsia="宋体" w:cs="宋体"/>
                <w:spacing w:val="10"/>
                <w:sz w:val="23"/>
                <w:szCs w:val="23"/>
              </w:rPr>
              <w:t>企</w:t>
            </w:r>
            <w:r>
              <w:rPr>
                <w:rFonts w:ascii="宋体" w:hAnsi="宋体" w:eastAsia="宋体" w:cs="宋体"/>
                <w:spacing w:val="9"/>
                <w:sz w:val="23"/>
                <w:szCs w:val="23"/>
              </w:rPr>
              <w:t>业</w:t>
            </w:r>
            <w:r>
              <w:rPr>
                <w:rFonts w:ascii="宋体" w:hAnsi="宋体" w:eastAsia="宋体" w:cs="宋体"/>
                <w:spacing w:val="5"/>
                <w:sz w:val="23"/>
                <w:szCs w:val="23"/>
              </w:rPr>
              <w:t>应完善温室气体排放数据上报相关制度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jc w:val="center"/>
        </w:trPr>
        <w:tc>
          <w:tcPr>
            <w:tcW w:w="1315" w:type="dxa"/>
            <w:vAlign w:val="top"/>
          </w:tcPr>
          <w:p>
            <w:pPr>
              <w:spacing w:before="148" w:line="195" w:lineRule="auto"/>
              <w:ind w:left="599"/>
              <w:rPr>
                <w:rFonts w:ascii="Times New Roman" w:hAnsi="Times New Roman" w:eastAsia="Times New Roman" w:cs="Times New Roman"/>
                <w:sz w:val="23"/>
                <w:szCs w:val="23"/>
              </w:rPr>
            </w:pPr>
            <w:r>
              <w:rPr>
                <w:rFonts w:ascii="Times New Roman" w:hAnsi="Times New Roman" w:eastAsia="Times New Roman" w:cs="Times New Roman"/>
                <w:sz w:val="23"/>
                <w:szCs w:val="23"/>
              </w:rPr>
              <w:t>2</w:t>
            </w:r>
          </w:p>
        </w:tc>
        <w:tc>
          <w:tcPr>
            <w:tcW w:w="7211" w:type="dxa"/>
            <w:vAlign w:val="top"/>
          </w:tcPr>
          <w:p>
            <w:pPr>
              <w:spacing w:before="108" w:line="227" w:lineRule="auto"/>
              <w:ind w:left="9"/>
              <w:rPr>
                <w:rFonts w:ascii="宋体" w:hAnsi="宋体" w:eastAsia="宋体" w:cs="宋体"/>
                <w:sz w:val="23"/>
                <w:szCs w:val="23"/>
              </w:rPr>
            </w:pPr>
            <w:r>
              <w:rPr>
                <w:rFonts w:ascii="宋体" w:hAnsi="宋体" w:eastAsia="宋体" w:cs="宋体"/>
                <w:spacing w:val="4"/>
                <w:sz w:val="23"/>
                <w:szCs w:val="23"/>
              </w:rPr>
              <w:t>为积</w:t>
            </w:r>
            <w:r>
              <w:rPr>
                <w:rFonts w:ascii="宋体" w:hAnsi="宋体" w:eastAsia="宋体" w:cs="宋体"/>
                <w:spacing w:val="2"/>
                <w:sz w:val="23"/>
                <w:szCs w:val="23"/>
              </w:rPr>
              <w:t>极应对碳配额的履约，企业应从自身出发，寻找低碳节能改进机会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1315" w:type="dxa"/>
            <w:vAlign w:val="top"/>
          </w:tcPr>
          <w:p>
            <w:pPr>
              <w:spacing w:before="150" w:line="194" w:lineRule="auto"/>
              <w:ind w:left="604"/>
              <w:rPr>
                <w:rFonts w:ascii="Times New Roman" w:hAnsi="Times New Roman" w:eastAsia="Times New Roman" w:cs="Times New Roman"/>
                <w:sz w:val="23"/>
                <w:szCs w:val="23"/>
              </w:rPr>
            </w:pPr>
            <w:r>
              <w:rPr>
                <w:rFonts w:ascii="Times New Roman" w:hAnsi="Times New Roman" w:eastAsia="Times New Roman" w:cs="Times New Roman"/>
                <w:sz w:val="23"/>
                <w:szCs w:val="23"/>
              </w:rPr>
              <w:t>3</w:t>
            </w:r>
          </w:p>
        </w:tc>
        <w:tc>
          <w:tcPr>
            <w:tcW w:w="7211" w:type="dxa"/>
            <w:vAlign w:val="top"/>
          </w:tcPr>
          <w:p>
            <w:pPr>
              <w:spacing w:before="108" w:line="227" w:lineRule="auto"/>
              <w:ind w:left="2197"/>
              <w:rPr>
                <w:rFonts w:ascii="宋体" w:hAnsi="宋体" w:eastAsia="宋体" w:cs="宋体"/>
                <w:sz w:val="23"/>
                <w:szCs w:val="23"/>
              </w:rPr>
            </w:pPr>
            <w:r>
              <w:rPr>
                <w:rFonts w:ascii="宋体" w:hAnsi="宋体" w:eastAsia="宋体" w:cs="宋体"/>
                <w:spacing w:val="10"/>
                <w:sz w:val="23"/>
                <w:szCs w:val="23"/>
              </w:rPr>
              <w:t>完</w:t>
            </w:r>
            <w:r>
              <w:rPr>
                <w:rFonts w:ascii="宋体" w:hAnsi="宋体" w:eastAsia="宋体" w:cs="宋体"/>
                <w:spacing w:val="5"/>
                <w:sz w:val="23"/>
                <w:szCs w:val="23"/>
              </w:rPr>
              <w:t>善各车间的能源计量工作</w:t>
            </w:r>
          </w:p>
        </w:tc>
      </w:tr>
    </w:tbl>
    <w:p>
      <w:pPr>
        <w:pStyle w:val="4"/>
        <w:bidi w:val="0"/>
      </w:pPr>
      <w:bookmarkStart w:id="76" w:name="_bookmark39"/>
      <w:bookmarkEnd w:id="76"/>
      <w:bookmarkStart w:id="77" w:name="_Toc31515"/>
      <w:r>
        <w:t>附件3：支持性文件清单</w:t>
      </w:r>
      <w:bookmarkEnd w:id="77"/>
    </w:p>
    <w:tbl>
      <w:tblPr>
        <w:tblStyle w:val="16"/>
        <w:tblW w:w="830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93"/>
        <w:gridCol w:w="741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2" w:hRule="atLeast"/>
          <w:jc w:val="center"/>
        </w:trPr>
        <w:tc>
          <w:tcPr>
            <w:tcW w:w="893" w:type="dxa"/>
            <w:vAlign w:val="top"/>
          </w:tcPr>
          <w:p>
            <w:pPr>
              <w:spacing w:before="193" w:line="229" w:lineRule="auto"/>
              <w:ind w:left="21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7410" w:type="dxa"/>
            <w:vAlign w:val="top"/>
          </w:tcPr>
          <w:p>
            <w:pPr>
              <w:spacing w:before="194" w:line="228" w:lineRule="auto"/>
              <w:ind w:left="3241"/>
              <w:rPr>
                <w:rFonts w:ascii="宋体" w:hAnsi="宋体" w:eastAsia="宋体" w:cs="宋体"/>
                <w:sz w:val="23"/>
                <w:szCs w:val="23"/>
              </w:rPr>
            </w:pPr>
            <w:r>
              <w:rPr>
                <w:rFonts w:ascii="宋体" w:hAnsi="宋体" w:eastAsia="宋体" w:cs="宋体"/>
                <w:spacing w:val="5"/>
                <w:sz w:val="23"/>
                <w:szCs w:val="23"/>
              </w:rPr>
              <w:t>资料名称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6" w:hRule="atLeast"/>
          <w:jc w:val="center"/>
        </w:trPr>
        <w:tc>
          <w:tcPr>
            <w:tcW w:w="893" w:type="dxa"/>
            <w:vAlign w:val="top"/>
          </w:tcPr>
          <w:p>
            <w:pPr>
              <w:spacing w:before="219" w:line="195" w:lineRule="auto"/>
              <w:ind w:left="411"/>
              <w:rPr>
                <w:rFonts w:ascii="Times New Roman" w:hAnsi="Times New Roman" w:eastAsia="Times New Roman" w:cs="Times New Roman"/>
                <w:sz w:val="23"/>
                <w:szCs w:val="23"/>
              </w:rPr>
            </w:pPr>
            <w:r>
              <w:rPr>
                <w:rFonts w:ascii="Times New Roman" w:hAnsi="Times New Roman" w:eastAsia="Times New Roman" w:cs="Times New Roman"/>
                <w:sz w:val="23"/>
                <w:szCs w:val="23"/>
              </w:rPr>
              <w:t>1</w:t>
            </w:r>
          </w:p>
        </w:tc>
        <w:tc>
          <w:tcPr>
            <w:tcW w:w="7410" w:type="dxa"/>
            <w:vAlign w:val="top"/>
          </w:tcPr>
          <w:p>
            <w:pPr>
              <w:spacing w:before="179" w:line="227" w:lineRule="auto"/>
              <w:ind w:left="3255"/>
              <w:rPr>
                <w:rFonts w:ascii="宋体" w:hAnsi="宋体" w:eastAsia="宋体" w:cs="宋体"/>
                <w:sz w:val="23"/>
                <w:szCs w:val="23"/>
              </w:rPr>
            </w:pPr>
            <w:r>
              <w:rPr>
                <w:rFonts w:ascii="宋体" w:hAnsi="宋体" w:eastAsia="宋体" w:cs="宋体"/>
                <w:spacing w:val="-1"/>
                <w:sz w:val="23"/>
                <w:szCs w:val="23"/>
              </w:rPr>
              <w:t>营</w:t>
            </w:r>
            <w:r>
              <w:rPr>
                <w:rFonts w:ascii="宋体" w:hAnsi="宋体" w:eastAsia="宋体" w:cs="宋体"/>
                <w:sz w:val="23"/>
                <w:szCs w:val="23"/>
              </w:rPr>
              <w:t>业执照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93" w:type="dxa"/>
            <w:vAlign w:val="top"/>
          </w:tcPr>
          <w:p>
            <w:pPr>
              <w:spacing w:before="223" w:line="195" w:lineRule="auto"/>
              <w:ind w:left="388"/>
              <w:rPr>
                <w:rFonts w:ascii="Times New Roman" w:hAnsi="Times New Roman" w:eastAsia="Times New Roman" w:cs="Times New Roman"/>
                <w:sz w:val="23"/>
                <w:szCs w:val="23"/>
              </w:rPr>
            </w:pPr>
            <w:r>
              <w:rPr>
                <w:rFonts w:ascii="Times New Roman" w:hAnsi="Times New Roman" w:eastAsia="Times New Roman" w:cs="Times New Roman"/>
                <w:sz w:val="23"/>
                <w:szCs w:val="23"/>
              </w:rPr>
              <w:t>2</w:t>
            </w:r>
          </w:p>
        </w:tc>
        <w:tc>
          <w:tcPr>
            <w:tcW w:w="7410" w:type="dxa"/>
            <w:vAlign w:val="top"/>
          </w:tcPr>
          <w:p>
            <w:pPr>
              <w:spacing w:before="181" w:line="227" w:lineRule="auto"/>
              <w:ind w:left="3128"/>
              <w:rPr>
                <w:rFonts w:ascii="宋体" w:hAnsi="宋体" w:eastAsia="宋体" w:cs="宋体"/>
                <w:sz w:val="23"/>
                <w:szCs w:val="23"/>
              </w:rPr>
            </w:pPr>
            <w:r>
              <w:rPr>
                <w:rFonts w:ascii="宋体" w:hAnsi="宋体" w:eastAsia="宋体" w:cs="宋体"/>
                <w:spacing w:val="4"/>
                <w:sz w:val="23"/>
                <w:szCs w:val="23"/>
              </w:rPr>
              <w:t>组</w:t>
            </w:r>
            <w:r>
              <w:rPr>
                <w:rFonts w:ascii="宋体" w:hAnsi="宋体" w:eastAsia="宋体" w:cs="宋体"/>
                <w:spacing w:val="3"/>
                <w:sz w:val="23"/>
                <w:szCs w:val="23"/>
              </w:rPr>
              <w:t>织</w:t>
            </w:r>
            <w:r>
              <w:rPr>
                <w:rFonts w:ascii="宋体" w:hAnsi="宋体" w:eastAsia="宋体" w:cs="宋体"/>
                <w:spacing w:val="2"/>
                <w:sz w:val="23"/>
                <w:szCs w:val="23"/>
              </w:rPr>
              <w:t>机构图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93" w:type="dxa"/>
            <w:vAlign w:val="top"/>
          </w:tcPr>
          <w:p>
            <w:pPr>
              <w:spacing w:before="227" w:line="194" w:lineRule="auto"/>
              <w:ind w:left="393"/>
              <w:rPr>
                <w:rFonts w:ascii="Times New Roman" w:hAnsi="Times New Roman" w:eastAsia="Times New Roman" w:cs="Times New Roman"/>
                <w:sz w:val="23"/>
                <w:szCs w:val="23"/>
              </w:rPr>
            </w:pPr>
            <w:r>
              <w:rPr>
                <w:rFonts w:ascii="Times New Roman" w:hAnsi="Times New Roman" w:eastAsia="Times New Roman" w:cs="Times New Roman"/>
                <w:sz w:val="23"/>
                <w:szCs w:val="23"/>
              </w:rPr>
              <w:t>3</w:t>
            </w:r>
          </w:p>
        </w:tc>
        <w:tc>
          <w:tcPr>
            <w:tcW w:w="7410" w:type="dxa"/>
            <w:vAlign w:val="top"/>
          </w:tcPr>
          <w:p>
            <w:pPr>
              <w:spacing w:before="185" w:line="228" w:lineRule="auto"/>
              <w:ind w:left="3005"/>
              <w:rPr>
                <w:rFonts w:ascii="宋体" w:hAnsi="宋体" w:eastAsia="宋体" w:cs="宋体"/>
                <w:sz w:val="23"/>
                <w:szCs w:val="23"/>
              </w:rPr>
            </w:pPr>
            <w:r>
              <w:rPr>
                <w:rFonts w:ascii="宋体" w:hAnsi="宋体" w:eastAsia="宋体" w:cs="宋体"/>
                <w:spacing w:val="5"/>
                <w:sz w:val="23"/>
                <w:szCs w:val="23"/>
              </w:rPr>
              <w:t>主要设备清</w:t>
            </w:r>
            <w:r>
              <w:rPr>
                <w:rFonts w:ascii="宋体" w:hAnsi="宋体" w:eastAsia="宋体" w:cs="宋体"/>
                <w:spacing w:val="4"/>
                <w:sz w:val="23"/>
                <w:szCs w:val="23"/>
              </w:rPr>
              <w:t>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93" w:type="dxa"/>
            <w:vAlign w:val="top"/>
          </w:tcPr>
          <w:p>
            <w:pPr>
              <w:spacing w:before="225" w:line="195" w:lineRule="auto"/>
              <w:ind w:left="387"/>
              <w:rPr>
                <w:rFonts w:ascii="Times New Roman" w:hAnsi="Times New Roman" w:eastAsia="Times New Roman" w:cs="Times New Roman"/>
                <w:sz w:val="23"/>
                <w:szCs w:val="23"/>
              </w:rPr>
            </w:pPr>
            <w:r>
              <w:rPr>
                <w:rFonts w:ascii="Times New Roman" w:hAnsi="Times New Roman" w:eastAsia="Times New Roman" w:cs="Times New Roman"/>
                <w:spacing w:val="1"/>
                <w:sz w:val="23"/>
                <w:szCs w:val="23"/>
              </w:rPr>
              <w:t>4</w:t>
            </w:r>
          </w:p>
        </w:tc>
        <w:tc>
          <w:tcPr>
            <w:tcW w:w="7410" w:type="dxa"/>
            <w:vAlign w:val="top"/>
          </w:tcPr>
          <w:p>
            <w:pPr>
              <w:spacing w:before="184" w:line="227" w:lineRule="auto"/>
              <w:ind w:left="2888"/>
              <w:rPr>
                <w:rFonts w:ascii="宋体" w:hAnsi="宋体" w:eastAsia="宋体" w:cs="宋体"/>
                <w:sz w:val="23"/>
                <w:szCs w:val="23"/>
              </w:rPr>
            </w:pPr>
            <w:r>
              <w:rPr>
                <w:rFonts w:ascii="宋体" w:hAnsi="宋体" w:eastAsia="宋体" w:cs="宋体"/>
                <w:spacing w:val="5"/>
                <w:sz w:val="23"/>
                <w:szCs w:val="23"/>
              </w:rPr>
              <w:t>厂区平面布置</w:t>
            </w:r>
            <w:r>
              <w:rPr>
                <w:rFonts w:ascii="宋体" w:hAnsi="宋体" w:eastAsia="宋体" w:cs="宋体"/>
                <w:spacing w:val="3"/>
                <w:sz w:val="23"/>
                <w:szCs w:val="23"/>
              </w:rPr>
              <w:t>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jc w:val="center"/>
        </w:trPr>
        <w:tc>
          <w:tcPr>
            <w:tcW w:w="893" w:type="dxa"/>
            <w:vAlign w:val="top"/>
          </w:tcPr>
          <w:p>
            <w:pPr>
              <w:spacing w:before="234" w:line="191" w:lineRule="auto"/>
              <w:ind w:left="394"/>
              <w:rPr>
                <w:rFonts w:ascii="Times New Roman" w:hAnsi="Times New Roman" w:eastAsia="Times New Roman" w:cs="Times New Roman"/>
                <w:sz w:val="23"/>
                <w:szCs w:val="23"/>
              </w:rPr>
            </w:pPr>
            <w:r>
              <w:rPr>
                <w:rFonts w:ascii="Times New Roman" w:hAnsi="Times New Roman" w:eastAsia="Times New Roman" w:cs="Times New Roman"/>
                <w:sz w:val="23"/>
                <w:szCs w:val="23"/>
              </w:rPr>
              <w:t>5</w:t>
            </w:r>
          </w:p>
        </w:tc>
        <w:tc>
          <w:tcPr>
            <w:tcW w:w="7410" w:type="dxa"/>
            <w:vAlign w:val="top"/>
          </w:tcPr>
          <w:p>
            <w:pPr>
              <w:spacing w:before="188" w:line="227" w:lineRule="auto"/>
              <w:ind w:left="2532"/>
              <w:rPr>
                <w:rFonts w:ascii="宋体" w:hAnsi="宋体" w:eastAsia="宋体" w:cs="宋体"/>
                <w:sz w:val="23"/>
                <w:szCs w:val="23"/>
              </w:rPr>
            </w:pPr>
            <w:r>
              <w:rPr>
                <w:rFonts w:ascii="宋体" w:hAnsi="宋体" w:eastAsia="宋体" w:cs="宋体"/>
                <w:spacing w:val="7"/>
                <w:sz w:val="23"/>
                <w:szCs w:val="23"/>
              </w:rPr>
              <w:t>生</w:t>
            </w:r>
            <w:r>
              <w:rPr>
                <w:rFonts w:ascii="宋体" w:hAnsi="宋体" w:eastAsia="宋体" w:cs="宋体"/>
                <w:spacing w:val="5"/>
                <w:sz w:val="23"/>
                <w:szCs w:val="23"/>
              </w:rPr>
              <w:t>产工艺流程图及简述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893" w:type="dxa"/>
            <w:vAlign w:val="top"/>
          </w:tcPr>
          <w:p>
            <w:pPr>
              <w:spacing w:before="232" w:line="194" w:lineRule="auto"/>
              <w:ind w:left="393"/>
              <w:rPr>
                <w:rFonts w:ascii="Times New Roman" w:hAnsi="Times New Roman" w:eastAsia="Times New Roman" w:cs="Times New Roman"/>
                <w:sz w:val="23"/>
                <w:szCs w:val="23"/>
              </w:rPr>
            </w:pPr>
            <w:r>
              <w:rPr>
                <w:rFonts w:ascii="Times New Roman" w:hAnsi="Times New Roman" w:eastAsia="Times New Roman" w:cs="Times New Roman"/>
                <w:sz w:val="23"/>
                <w:szCs w:val="23"/>
              </w:rPr>
              <w:t>6</w:t>
            </w:r>
          </w:p>
        </w:tc>
        <w:tc>
          <w:tcPr>
            <w:tcW w:w="7410" w:type="dxa"/>
            <w:vAlign w:val="top"/>
          </w:tcPr>
          <w:p>
            <w:pPr>
              <w:spacing w:before="190" w:line="227" w:lineRule="auto"/>
              <w:ind w:left="2279"/>
              <w:rPr>
                <w:rFonts w:ascii="宋体" w:hAnsi="宋体" w:eastAsia="宋体" w:cs="宋体"/>
                <w:sz w:val="23"/>
                <w:szCs w:val="23"/>
              </w:rPr>
            </w:pPr>
            <w:r>
              <w:rPr>
                <w:rFonts w:hint="eastAsia" w:ascii="Times New Roman" w:hAnsi="Times New Roman" w:eastAsia="宋体" w:cs="Times New Roman"/>
                <w:spacing w:val="12"/>
                <w:sz w:val="23"/>
                <w:szCs w:val="23"/>
                <w:lang w:eastAsia="zh-CN"/>
              </w:rPr>
              <w:t>2022</w:t>
            </w:r>
            <w:r>
              <w:rPr>
                <w:rFonts w:ascii="宋体" w:hAnsi="宋体" w:eastAsia="宋体" w:cs="宋体"/>
                <w:spacing w:val="6"/>
                <w:sz w:val="23"/>
                <w:szCs w:val="23"/>
              </w:rPr>
              <w:t>年工厂能源消耗统计表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8" w:hRule="atLeast"/>
          <w:jc w:val="center"/>
        </w:trPr>
        <w:tc>
          <w:tcPr>
            <w:tcW w:w="893" w:type="dxa"/>
            <w:vAlign w:val="top"/>
          </w:tcPr>
          <w:p>
            <w:pPr>
              <w:spacing w:before="233" w:line="191" w:lineRule="auto"/>
              <w:ind w:left="392"/>
              <w:rPr>
                <w:rFonts w:ascii="Times New Roman" w:hAnsi="Times New Roman" w:eastAsia="Times New Roman" w:cs="Times New Roman"/>
                <w:sz w:val="23"/>
                <w:szCs w:val="23"/>
              </w:rPr>
            </w:pPr>
            <w:r>
              <w:rPr>
                <w:rFonts w:ascii="Times New Roman" w:hAnsi="Times New Roman" w:eastAsia="Times New Roman" w:cs="Times New Roman"/>
                <w:sz w:val="23"/>
                <w:szCs w:val="23"/>
              </w:rPr>
              <w:t>7</w:t>
            </w:r>
          </w:p>
        </w:tc>
        <w:tc>
          <w:tcPr>
            <w:tcW w:w="7410" w:type="dxa"/>
            <w:vAlign w:val="top"/>
          </w:tcPr>
          <w:p>
            <w:pPr>
              <w:spacing w:before="188" w:line="227" w:lineRule="auto"/>
              <w:ind w:left="1331"/>
              <w:rPr>
                <w:rFonts w:ascii="宋体" w:hAnsi="宋体" w:eastAsia="宋体" w:cs="宋体"/>
                <w:sz w:val="23"/>
                <w:szCs w:val="23"/>
              </w:rPr>
            </w:pPr>
            <w:r>
              <w:rPr>
                <w:rFonts w:ascii="宋体" w:hAnsi="宋体" w:eastAsia="宋体" w:cs="宋体"/>
                <w:spacing w:val="11"/>
                <w:sz w:val="23"/>
                <w:szCs w:val="23"/>
              </w:rPr>
              <w:t>浙</w:t>
            </w:r>
            <w:r>
              <w:rPr>
                <w:rFonts w:ascii="宋体" w:hAnsi="宋体" w:eastAsia="宋体" w:cs="宋体"/>
                <w:spacing w:val="6"/>
                <w:sz w:val="23"/>
                <w:szCs w:val="23"/>
              </w:rPr>
              <w:t>江</w:t>
            </w:r>
            <w:r>
              <w:rPr>
                <w:rFonts w:hint="eastAsia" w:ascii="宋体" w:hAnsi="宋体" w:eastAsia="宋体" w:cs="宋体"/>
                <w:spacing w:val="6"/>
                <w:sz w:val="23"/>
                <w:szCs w:val="23"/>
                <w:lang w:val="en-US" w:eastAsia="zh-CN"/>
              </w:rPr>
              <w:t>群展紧固件</w:t>
            </w:r>
            <w:r>
              <w:rPr>
                <w:rFonts w:ascii="宋体" w:hAnsi="宋体" w:eastAsia="宋体" w:cs="宋体"/>
                <w:spacing w:val="6"/>
                <w:sz w:val="23"/>
                <w:szCs w:val="23"/>
              </w:rPr>
              <w:t>有限公司原辅料消耗 (</w:t>
            </w:r>
            <w:r>
              <w:rPr>
                <w:rFonts w:hint="eastAsia" w:ascii="Times New Roman" w:hAnsi="Times New Roman" w:eastAsia="宋体" w:cs="Times New Roman"/>
                <w:spacing w:val="6"/>
                <w:sz w:val="23"/>
                <w:szCs w:val="23"/>
                <w:lang w:eastAsia="zh-CN"/>
              </w:rPr>
              <w:t>2022</w:t>
            </w:r>
            <w:r>
              <w:rPr>
                <w:rFonts w:ascii="宋体" w:hAnsi="宋体" w:eastAsia="宋体" w:cs="宋体"/>
                <w:spacing w:val="6"/>
                <w:sz w:val="23"/>
                <w:szCs w:val="23"/>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jc w:val="center"/>
        </w:trPr>
        <w:tc>
          <w:tcPr>
            <w:tcW w:w="893" w:type="dxa"/>
            <w:vAlign w:val="top"/>
          </w:tcPr>
          <w:p>
            <w:pPr>
              <w:spacing w:before="233" w:line="194" w:lineRule="auto"/>
              <w:ind w:left="397"/>
              <w:rPr>
                <w:rFonts w:ascii="Times New Roman" w:hAnsi="Times New Roman" w:eastAsia="Times New Roman" w:cs="Times New Roman"/>
                <w:sz w:val="23"/>
                <w:szCs w:val="23"/>
              </w:rPr>
            </w:pPr>
            <w:r>
              <w:rPr>
                <w:rFonts w:ascii="Times New Roman" w:hAnsi="Times New Roman" w:eastAsia="Times New Roman" w:cs="Times New Roman"/>
                <w:sz w:val="23"/>
                <w:szCs w:val="23"/>
              </w:rPr>
              <w:t>8</w:t>
            </w:r>
          </w:p>
        </w:tc>
        <w:tc>
          <w:tcPr>
            <w:tcW w:w="7410" w:type="dxa"/>
            <w:vAlign w:val="top"/>
          </w:tcPr>
          <w:p>
            <w:pPr>
              <w:spacing w:before="190" w:line="227" w:lineRule="auto"/>
              <w:ind w:left="3252"/>
              <w:rPr>
                <w:rFonts w:ascii="宋体" w:hAnsi="宋体" w:eastAsia="宋体" w:cs="宋体"/>
                <w:sz w:val="23"/>
                <w:szCs w:val="23"/>
              </w:rPr>
            </w:pPr>
            <w:r>
              <w:rPr>
                <w:rFonts w:ascii="宋体" w:hAnsi="宋体" w:eastAsia="宋体" w:cs="宋体"/>
                <w:spacing w:val="1"/>
                <w:sz w:val="23"/>
                <w:szCs w:val="23"/>
              </w:rPr>
              <w:t>企业</w:t>
            </w:r>
            <w:r>
              <w:rPr>
                <w:rFonts w:ascii="宋体" w:hAnsi="宋体" w:eastAsia="宋体" w:cs="宋体"/>
                <w:sz w:val="23"/>
                <w:szCs w:val="23"/>
              </w:rPr>
              <w:t>介绍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jc w:val="center"/>
        </w:trPr>
        <w:tc>
          <w:tcPr>
            <w:tcW w:w="893" w:type="dxa"/>
            <w:vAlign w:val="top"/>
          </w:tcPr>
          <w:p>
            <w:pPr>
              <w:spacing w:before="227" w:line="195" w:lineRule="auto"/>
              <w:ind w:left="399"/>
              <w:rPr>
                <w:rFonts w:ascii="Times New Roman" w:hAnsi="Times New Roman" w:eastAsia="Times New Roman" w:cs="Times New Roman"/>
                <w:sz w:val="23"/>
                <w:szCs w:val="23"/>
              </w:rPr>
            </w:pPr>
            <w:r>
              <w:rPr>
                <w:rFonts w:ascii="Times New Roman" w:hAnsi="Times New Roman" w:eastAsia="Times New Roman" w:cs="Times New Roman"/>
                <w:sz w:val="23"/>
                <w:szCs w:val="23"/>
              </w:rPr>
              <w:t>9</w:t>
            </w:r>
          </w:p>
        </w:tc>
        <w:tc>
          <w:tcPr>
            <w:tcW w:w="7410" w:type="dxa"/>
            <w:vAlign w:val="top"/>
          </w:tcPr>
          <w:p>
            <w:pPr>
              <w:spacing w:before="186" w:line="227" w:lineRule="auto"/>
              <w:ind w:left="2166"/>
              <w:rPr>
                <w:rFonts w:ascii="宋体" w:hAnsi="宋体" w:eastAsia="宋体" w:cs="宋体"/>
                <w:sz w:val="23"/>
                <w:szCs w:val="23"/>
              </w:rPr>
            </w:pPr>
            <w:r>
              <w:rPr>
                <w:rFonts w:ascii="宋体" w:hAnsi="宋体" w:eastAsia="宋体" w:cs="宋体"/>
                <w:spacing w:val="9"/>
                <w:sz w:val="23"/>
                <w:szCs w:val="23"/>
              </w:rPr>
              <w:t>工</w:t>
            </w:r>
            <w:r>
              <w:rPr>
                <w:rFonts w:ascii="宋体" w:hAnsi="宋体" w:eastAsia="宋体" w:cs="宋体"/>
                <w:spacing w:val="7"/>
                <w:sz w:val="23"/>
                <w:szCs w:val="23"/>
              </w:rPr>
              <w:t>业产销总值及主要产品产量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893" w:type="dxa"/>
            <w:vAlign w:val="top"/>
          </w:tcPr>
          <w:p>
            <w:pPr>
              <w:spacing w:before="228" w:line="194" w:lineRule="auto"/>
              <w:ind w:left="361"/>
              <w:rPr>
                <w:rFonts w:ascii="Times New Roman" w:hAnsi="Times New Roman" w:eastAsia="Times New Roman" w:cs="Times New Roman"/>
                <w:sz w:val="23"/>
                <w:szCs w:val="23"/>
              </w:rPr>
            </w:pPr>
            <w:r>
              <w:rPr>
                <w:rFonts w:ascii="Times New Roman" w:hAnsi="Times New Roman" w:eastAsia="Times New Roman" w:cs="Times New Roman"/>
                <w:spacing w:val="-15"/>
                <w:sz w:val="23"/>
                <w:szCs w:val="23"/>
              </w:rPr>
              <w:t>1</w:t>
            </w:r>
            <w:r>
              <w:rPr>
                <w:rFonts w:ascii="Times New Roman" w:hAnsi="Times New Roman" w:eastAsia="Times New Roman" w:cs="Times New Roman"/>
                <w:spacing w:val="-14"/>
                <w:sz w:val="23"/>
                <w:szCs w:val="23"/>
              </w:rPr>
              <w:t>0</w:t>
            </w:r>
          </w:p>
        </w:tc>
        <w:tc>
          <w:tcPr>
            <w:tcW w:w="7410" w:type="dxa"/>
            <w:vAlign w:val="top"/>
          </w:tcPr>
          <w:p>
            <w:pPr>
              <w:spacing w:before="187" w:line="227" w:lineRule="auto"/>
              <w:ind w:left="2516"/>
              <w:rPr>
                <w:rFonts w:ascii="宋体" w:hAnsi="宋体" w:eastAsia="宋体" w:cs="宋体"/>
                <w:sz w:val="23"/>
                <w:szCs w:val="23"/>
              </w:rPr>
            </w:pPr>
            <w:r>
              <w:rPr>
                <w:rFonts w:hint="eastAsia" w:ascii="Times New Roman" w:hAnsi="Times New Roman" w:eastAsia="宋体" w:cs="Times New Roman"/>
                <w:spacing w:val="12"/>
                <w:sz w:val="23"/>
                <w:szCs w:val="23"/>
                <w:lang w:eastAsia="zh-CN"/>
              </w:rPr>
              <w:t>2022</w:t>
            </w:r>
            <w:r>
              <w:rPr>
                <w:rFonts w:ascii="宋体" w:hAnsi="宋体" w:eastAsia="宋体" w:cs="宋体"/>
                <w:spacing w:val="6"/>
                <w:sz w:val="23"/>
                <w:szCs w:val="23"/>
              </w:rPr>
              <w:t>年度电力发票清单</w:t>
            </w:r>
          </w:p>
        </w:tc>
      </w:tr>
    </w:tbl>
    <w:p>
      <w:pPr>
        <w:pStyle w:val="4"/>
        <w:numPr>
          <w:ilvl w:val="0"/>
          <w:numId w:val="1"/>
        </w:numPr>
        <w:bidi w:val="0"/>
      </w:pPr>
      <w:bookmarkStart w:id="78" w:name="_bookmark40"/>
      <w:bookmarkEnd w:id="78"/>
      <w:bookmarkStart w:id="79" w:name="_Toc3207"/>
      <w:r>
        <w:t>营业执照</w:t>
      </w:r>
      <w:bookmarkEnd w:id="79"/>
    </w:p>
    <w:p>
      <w:pPr>
        <w:pStyle w:val="17"/>
        <w:bidi w:val="0"/>
      </w:pPr>
      <w:r>
        <w:rPr>
          <w:rFonts w:hint="eastAsia"/>
          <w:lang w:eastAsia="zh-CN"/>
        </w:rPr>
        <w:drawing>
          <wp:inline distT="0" distB="0" distL="114300" distR="114300">
            <wp:extent cx="4690745" cy="6625590"/>
            <wp:effectExtent l="0" t="0" r="3810" b="14605"/>
            <wp:docPr id="368" name="图片 368" descr="1.营业执照-副本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图片 368" descr="1.营业执照-副本_00"/>
                    <pic:cNvPicPr>
                      <a:picLocks noChangeAspect="1"/>
                    </pic:cNvPicPr>
                  </pic:nvPicPr>
                  <pic:blipFill>
                    <a:blip r:embed="rId52"/>
                    <a:stretch>
                      <a:fillRect/>
                    </a:stretch>
                  </pic:blipFill>
                  <pic:spPr>
                    <a:xfrm rot="16200000">
                      <a:off x="0" y="0"/>
                      <a:ext cx="4690745" cy="6625590"/>
                    </a:xfrm>
                    <a:prstGeom prst="rect">
                      <a:avLst/>
                    </a:prstGeom>
                  </pic:spPr>
                </pic:pic>
              </a:graphicData>
            </a:graphic>
          </wp:inline>
        </w:drawing>
      </w:r>
    </w:p>
    <w:p>
      <w:pPr>
        <w:rPr>
          <w:rFonts w:ascii="Times New Roman" w:hAnsi="Times New Roman" w:eastAsia="Times New Roman" w:cs="Times New Roman"/>
          <w:b/>
          <w:bCs/>
          <w:spacing w:val="-2"/>
          <w:position w:val="1"/>
          <w:sz w:val="23"/>
          <w:szCs w:val="23"/>
        </w:rPr>
      </w:pPr>
      <w:bookmarkStart w:id="80" w:name="_bookmark41"/>
      <w:bookmarkEnd w:id="80"/>
      <w:r>
        <w:rPr>
          <w:rFonts w:ascii="Times New Roman" w:hAnsi="Times New Roman" w:eastAsia="Times New Roman" w:cs="Times New Roman"/>
          <w:b/>
          <w:bCs/>
          <w:spacing w:val="-2"/>
          <w:position w:val="1"/>
          <w:sz w:val="23"/>
          <w:szCs w:val="23"/>
        </w:rPr>
        <w:br w:type="page"/>
      </w:r>
    </w:p>
    <w:p>
      <w:pPr>
        <w:pStyle w:val="4"/>
        <w:bidi w:val="0"/>
      </w:pPr>
      <w:bookmarkStart w:id="81" w:name="_Toc12412"/>
      <w:r>
        <w:t>2、组织机构图</w:t>
      </w:r>
      <w:bookmarkEnd w:id="81"/>
    </w:p>
    <w:p>
      <w:pPr>
        <w:spacing w:line="269" w:lineRule="auto"/>
        <w:rPr>
          <w:rFonts w:ascii="Arial"/>
          <w:sz w:val="21"/>
        </w:rPr>
      </w:pPr>
    </w:p>
    <w:p>
      <w:pPr>
        <w:spacing w:line="270" w:lineRule="auto"/>
        <w:rPr>
          <w:rFonts w:ascii="Arial"/>
          <w:sz w:val="21"/>
        </w:rPr>
      </w:pPr>
    </w:p>
    <w:p>
      <w:pPr>
        <w:pStyle w:val="17"/>
        <w:bidi w:val="0"/>
      </w:pPr>
      <w:r>
        <w:drawing>
          <wp:inline distT="0" distB="0" distL="114300" distR="114300">
            <wp:extent cx="4467225" cy="4143375"/>
            <wp:effectExtent l="0" t="0" r="9525" b="9525"/>
            <wp:docPr id="89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 name="图片 6"/>
                    <pic:cNvPicPr>
                      <a:picLocks noChangeAspect="1"/>
                    </pic:cNvPicPr>
                  </pic:nvPicPr>
                  <pic:blipFill>
                    <a:blip r:embed="rId38"/>
                    <a:stretch>
                      <a:fillRect/>
                    </a:stretch>
                  </pic:blipFill>
                  <pic:spPr>
                    <a:xfrm>
                      <a:off x="0" y="0"/>
                      <a:ext cx="4467225" cy="4143375"/>
                    </a:xfrm>
                    <a:prstGeom prst="rect">
                      <a:avLst/>
                    </a:prstGeom>
                    <a:noFill/>
                    <a:ln>
                      <a:noFill/>
                    </a:ln>
                  </pic:spPr>
                </pic:pic>
              </a:graphicData>
            </a:graphic>
          </wp:inline>
        </w:drawing>
      </w:r>
    </w:p>
    <w:p>
      <w:pPr>
        <w:sectPr>
          <w:headerReference r:id="rId20" w:type="default"/>
          <w:footerReference r:id="rId21" w:type="default"/>
          <w:pgSz w:w="11906" w:h="16840"/>
          <w:pgMar w:top="1440" w:right="1080" w:bottom="1440" w:left="1080" w:header="901" w:footer="852" w:gutter="0"/>
          <w:pgNumType w:fmt="decimal"/>
          <w:cols w:space="720" w:num="1"/>
        </w:sectPr>
      </w:pPr>
    </w:p>
    <w:p>
      <w:pPr>
        <w:pStyle w:val="4"/>
        <w:bidi w:val="0"/>
        <w:rPr>
          <w:highlight w:val="yellow"/>
        </w:rPr>
      </w:pPr>
      <w:bookmarkStart w:id="82" w:name="_bookmark42"/>
      <w:bookmarkEnd w:id="82"/>
      <w:bookmarkStart w:id="83" w:name="_Toc9184"/>
      <w:r>
        <w:t>3、</w:t>
      </w:r>
      <w:r>
        <w:rPr>
          <w:rFonts w:hint="eastAsia"/>
          <w:highlight w:val="none"/>
          <w:lang w:val="en-US" w:eastAsia="zh-CN"/>
        </w:rPr>
        <w:t>专用</w:t>
      </w:r>
      <w:r>
        <w:rPr>
          <w:highlight w:val="none"/>
        </w:rPr>
        <w:t>设备清单</w:t>
      </w:r>
      <w:bookmarkEnd w:id="83"/>
    </w:p>
    <w:tbl>
      <w:tblPr>
        <w:tblStyle w:val="13"/>
        <w:tblW w:w="4958" w:type="pct"/>
        <w:tblInd w:w="0" w:type="dxa"/>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Layout w:type="fixed"/>
        <w:tblCellMar>
          <w:top w:w="0" w:type="dxa"/>
          <w:left w:w="108" w:type="dxa"/>
          <w:bottom w:w="0" w:type="dxa"/>
          <w:right w:w="108" w:type="dxa"/>
        </w:tblCellMar>
      </w:tblPr>
      <w:tblGrid>
        <w:gridCol w:w="2571"/>
        <w:gridCol w:w="1751"/>
        <w:gridCol w:w="1725"/>
        <w:gridCol w:w="1916"/>
        <w:gridCol w:w="1916"/>
      </w:tblGrid>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shd w:val="clear" w:color="auto" w:fill="DCE6F2" w:themeFill="accent1" w:themeFillTint="32"/>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序号</w:t>
            </w:r>
          </w:p>
        </w:tc>
        <w:tc>
          <w:tcPr>
            <w:tcW w:w="1751" w:type="dxa"/>
            <w:tcBorders>
              <w:top w:val="single" w:color="000000" w:sz="8" w:space="0"/>
              <w:left w:val="single" w:color="000000" w:sz="8" w:space="0"/>
              <w:bottom w:val="single" w:color="000000" w:sz="8" w:space="0"/>
              <w:right w:val="single" w:color="000000" w:sz="8" w:space="0"/>
            </w:tcBorders>
            <w:shd w:val="clear" w:color="auto" w:fill="DCE6F2" w:themeFill="accent1" w:themeFillTint="32"/>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设备名称</w:t>
            </w:r>
          </w:p>
        </w:tc>
        <w:tc>
          <w:tcPr>
            <w:tcW w:w="1725" w:type="dxa"/>
            <w:tcBorders>
              <w:top w:val="single" w:color="000000" w:sz="8" w:space="0"/>
              <w:left w:val="single" w:color="000000" w:sz="8" w:space="0"/>
              <w:bottom w:val="single" w:color="000000" w:sz="8" w:space="0"/>
              <w:right w:val="single" w:color="000000" w:sz="8" w:space="0"/>
            </w:tcBorders>
            <w:shd w:val="clear" w:color="auto" w:fill="DCE6F2" w:themeFill="accent1" w:themeFillTint="32"/>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型号或规格</w:t>
            </w:r>
          </w:p>
        </w:tc>
        <w:tc>
          <w:tcPr>
            <w:tcW w:w="1916" w:type="dxa"/>
            <w:tcBorders>
              <w:top w:val="single" w:color="000000" w:sz="8" w:space="0"/>
              <w:left w:val="single" w:color="000000" w:sz="8" w:space="0"/>
              <w:bottom w:val="single" w:color="000000" w:sz="8" w:space="0"/>
              <w:right w:val="single" w:color="000000" w:sz="8" w:space="0"/>
            </w:tcBorders>
            <w:shd w:val="clear" w:color="auto" w:fill="DCE6F2" w:themeFill="accent1" w:themeFillTint="32"/>
            <w:noWrap/>
            <w:vAlign w:val="bottom"/>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数量（台/ 套）</w:t>
            </w:r>
          </w:p>
        </w:tc>
        <w:tc>
          <w:tcPr>
            <w:tcW w:w="1916" w:type="dxa"/>
            <w:tcBorders>
              <w:top w:val="single" w:color="000000" w:sz="8" w:space="0"/>
              <w:left w:val="single" w:color="000000" w:sz="8" w:space="0"/>
              <w:bottom w:val="single" w:color="000000" w:sz="8" w:space="0"/>
              <w:right w:val="single" w:color="000000" w:sz="8" w:space="0"/>
            </w:tcBorders>
            <w:shd w:val="clear" w:color="auto" w:fill="DCE6F2" w:themeFill="accent1" w:themeFillTint="32"/>
            <w:noWrap/>
            <w:vAlign w:val="bottom"/>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功率（kW/ 台）</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7B4S</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JBF-10B</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CF-13B</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JBF-17B</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JBF-19B</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JBF-24B4S</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JBF30B3S</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90</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JBF-30B4S</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螺丝成型机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YBP13B6S</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37</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高速辗牙机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CGR254H</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高速辗牙机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CGR305H</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12</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高速辗牙机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CGR406H</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高速辗牙机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CGR606H</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14</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高速辗牙机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CGR806H</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12B6SLPK0</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16</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17B6SLPK0</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22B6SLPK0</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18</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27B6SLPK0</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19</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24B5SLPK0</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19B6SLPK0</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30</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21</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螺母成型机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41B6SLPK0</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150</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立式冲床</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6503T</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23</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立式冲床</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10003T</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24</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零件成型机</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JPF-41B5S</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225</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25</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炉子</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SY-805-6</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408</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热处理线</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800</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27</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电镀生产线</w:t>
            </w:r>
          </w:p>
        </w:tc>
        <w:tc>
          <w:tcPr>
            <w:tcW w:w="1725"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全自动镀锌线</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150</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2571" w:type="dxa"/>
            <w:tcBorders>
              <w:top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24"/>
                <w:szCs w:val="24"/>
                <w:u w:val="none"/>
                <w:lang w:val="en-US" w:eastAsia="zh-CN" w:bidi="ar"/>
              </w:rPr>
              <w:t>28</w:t>
            </w:r>
          </w:p>
        </w:tc>
        <w:tc>
          <w:tcPr>
            <w:tcW w:w="175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24"/>
                <w:szCs w:val="24"/>
                <w:u w:val="none"/>
                <w:lang w:val="en-US" w:eastAsia="zh-CN" w:bidi="ar"/>
              </w:rPr>
              <w:t>全自动去磷线</w:t>
            </w:r>
          </w:p>
        </w:tc>
        <w:tc>
          <w:tcPr>
            <w:tcW w:w="1725" w:type="dxa"/>
            <w:tcBorders>
              <w:top w:val="single" w:color="000000" w:sz="8" w:space="0"/>
              <w:left w:val="single" w:color="000000" w:sz="8" w:space="0"/>
              <w:bottom w:val="single" w:color="000000" w:sz="8" w:space="0"/>
              <w:right w:val="single" w:color="000000" w:sz="8" w:space="0"/>
            </w:tcBorders>
            <w:noWrap/>
            <w:vAlign w:val="bottom"/>
          </w:tcPr>
          <w:p>
            <w:pPr>
              <w:keepNext w:val="0"/>
              <w:keepLines w:val="0"/>
              <w:widowControl/>
              <w:suppressLineNumbers w:val="0"/>
              <w:jc w:val="lef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前洗槽 2.25X 1.53X 0. 8m, 1只；除磷槽6.0 X2. 03X0. 80, 1 只； 后洗槽 2.25X 1.53X 0. 8m, 1 只</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916"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110</w:t>
            </w:r>
          </w:p>
        </w:tc>
      </w:tr>
    </w:tbl>
    <w:p>
      <w:pPr>
        <w:bidi w:val="0"/>
      </w:pPr>
    </w:p>
    <w:p>
      <w:pPr>
        <w:pStyle w:val="17"/>
        <w:bidi w:val="0"/>
      </w:pPr>
      <w:r>
        <w:drawing>
          <wp:inline distT="0" distB="0" distL="114300" distR="114300">
            <wp:extent cx="3051810" cy="2268220"/>
            <wp:effectExtent l="0" t="0" r="15240" b="17780"/>
            <wp:docPr id="99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 name="图片 9"/>
                    <pic:cNvPicPr>
                      <a:picLocks noChangeAspect="1"/>
                    </pic:cNvPicPr>
                  </pic:nvPicPr>
                  <pic:blipFill>
                    <a:blip r:embed="rId53"/>
                    <a:stretch>
                      <a:fillRect/>
                    </a:stretch>
                  </pic:blipFill>
                  <pic:spPr>
                    <a:xfrm>
                      <a:off x="0" y="0"/>
                      <a:ext cx="3051810" cy="2268220"/>
                    </a:xfrm>
                    <a:prstGeom prst="rect">
                      <a:avLst/>
                    </a:prstGeom>
                    <a:noFill/>
                    <a:ln>
                      <a:noFill/>
                    </a:ln>
                  </pic:spPr>
                </pic:pic>
              </a:graphicData>
            </a:graphic>
          </wp:inline>
        </w:drawing>
      </w:r>
      <w:r>
        <w:drawing>
          <wp:inline distT="0" distB="0" distL="114300" distR="114300">
            <wp:extent cx="3001645" cy="2268220"/>
            <wp:effectExtent l="0" t="0" r="8255" b="17780"/>
            <wp:docPr id="99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 name="图片 10"/>
                    <pic:cNvPicPr>
                      <a:picLocks noChangeAspect="1"/>
                    </pic:cNvPicPr>
                  </pic:nvPicPr>
                  <pic:blipFill>
                    <a:blip r:embed="rId54"/>
                    <a:stretch>
                      <a:fillRect/>
                    </a:stretch>
                  </pic:blipFill>
                  <pic:spPr>
                    <a:xfrm>
                      <a:off x="0" y="0"/>
                      <a:ext cx="3001645" cy="2268220"/>
                    </a:xfrm>
                    <a:prstGeom prst="rect">
                      <a:avLst/>
                    </a:prstGeom>
                    <a:noFill/>
                    <a:ln>
                      <a:noFill/>
                    </a:ln>
                  </pic:spPr>
                </pic:pic>
              </a:graphicData>
            </a:graphic>
          </wp:inline>
        </w:drawing>
      </w:r>
    </w:p>
    <w:p>
      <w:pPr>
        <w:pStyle w:val="17"/>
        <w:bidi w:val="0"/>
        <w:rPr>
          <w:rFonts w:hint="default"/>
          <w:lang w:val="en-US" w:eastAsia="zh-CN"/>
        </w:rPr>
      </w:pPr>
      <w:r>
        <w:rPr>
          <w:rFonts w:hint="default"/>
          <w:lang w:val="en-US" w:eastAsia="zh-CN"/>
        </w:rPr>
        <w:drawing>
          <wp:inline distT="0" distB="0" distL="114300" distR="114300">
            <wp:extent cx="3024505" cy="2268220"/>
            <wp:effectExtent l="0" t="0" r="4445" b="17780"/>
            <wp:docPr id="317" name="图片 317" descr="5802fce713cbf4172e284e3d5fc0f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317" descr="5802fce713cbf4172e284e3d5fc0f1e"/>
                    <pic:cNvPicPr>
                      <a:picLocks noChangeAspect="1"/>
                    </pic:cNvPicPr>
                  </pic:nvPicPr>
                  <pic:blipFill>
                    <a:blip r:embed="rId55"/>
                    <a:stretch>
                      <a:fillRect/>
                    </a:stretch>
                  </pic:blipFill>
                  <pic:spPr>
                    <a:xfrm>
                      <a:off x="0" y="0"/>
                      <a:ext cx="3024505" cy="2268220"/>
                    </a:xfrm>
                    <a:prstGeom prst="rect">
                      <a:avLst/>
                    </a:prstGeom>
                  </pic:spPr>
                </pic:pic>
              </a:graphicData>
            </a:graphic>
          </wp:inline>
        </w:drawing>
      </w:r>
      <w:r>
        <w:rPr>
          <w:rFonts w:hint="default"/>
          <w:lang w:val="en-US" w:eastAsia="zh-CN"/>
        </w:rPr>
        <w:drawing>
          <wp:inline distT="0" distB="0" distL="114300" distR="114300">
            <wp:extent cx="3024505" cy="2268220"/>
            <wp:effectExtent l="0" t="0" r="4445" b="17780"/>
            <wp:docPr id="318" name="图片 318" descr="b2877b835a82496139b769a552ba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图片 318" descr="b2877b835a82496139b769a552ba819"/>
                    <pic:cNvPicPr>
                      <a:picLocks noChangeAspect="1"/>
                    </pic:cNvPicPr>
                  </pic:nvPicPr>
                  <pic:blipFill>
                    <a:blip r:embed="rId56"/>
                    <a:stretch>
                      <a:fillRect/>
                    </a:stretch>
                  </pic:blipFill>
                  <pic:spPr>
                    <a:xfrm>
                      <a:off x="0" y="0"/>
                      <a:ext cx="3024505" cy="2268220"/>
                    </a:xfrm>
                    <a:prstGeom prst="rect">
                      <a:avLst/>
                    </a:prstGeom>
                  </pic:spPr>
                </pic:pic>
              </a:graphicData>
            </a:graphic>
          </wp:inline>
        </w:drawing>
      </w:r>
      <w:r>
        <w:rPr>
          <w:rFonts w:hint="eastAsia"/>
          <w:lang w:val="en-US" w:eastAsia="zh-CN"/>
        </w:rPr>
        <w:t xml:space="preserve"> </w:t>
      </w:r>
    </w:p>
    <w:p>
      <w:pPr>
        <w:pStyle w:val="17"/>
        <w:bidi w:val="0"/>
        <w:rPr>
          <w:rFonts w:hint="default"/>
          <w:lang w:val="en-US" w:eastAsia="zh-CN"/>
        </w:rPr>
      </w:pPr>
      <w:r>
        <w:rPr>
          <w:rFonts w:hint="default"/>
          <w:lang w:val="en-US" w:eastAsia="zh-CN"/>
        </w:rPr>
        <w:drawing>
          <wp:inline distT="0" distB="0" distL="114300" distR="114300">
            <wp:extent cx="2865120" cy="2148840"/>
            <wp:effectExtent l="0" t="0" r="11430" b="3810"/>
            <wp:docPr id="315" name="图片 315" descr="59e32adfeda4e2f976db2f12bdbb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图片 315" descr="59e32adfeda4e2f976db2f12bdbb003"/>
                    <pic:cNvPicPr>
                      <a:picLocks noChangeAspect="1"/>
                    </pic:cNvPicPr>
                  </pic:nvPicPr>
                  <pic:blipFill>
                    <a:blip r:embed="rId57"/>
                    <a:stretch>
                      <a:fillRect/>
                    </a:stretch>
                  </pic:blipFill>
                  <pic:spPr>
                    <a:xfrm>
                      <a:off x="0" y="0"/>
                      <a:ext cx="2865120" cy="2148840"/>
                    </a:xfrm>
                    <a:prstGeom prst="rect">
                      <a:avLst/>
                    </a:prstGeom>
                  </pic:spPr>
                </pic:pic>
              </a:graphicData>
            </a:graphic>
          </wp:inline>
        </w:drawing>
      </w:r>
      <w:r>
        <w:rPr>
          <w:rFonts w:hint="default"/>
          <w:lang w:val="en-US" w:eastAsia="zh-CN"/>
        </w:rPr>
        <w:drawing>
          <wp:inline distT="0" distB="0" distL="114300" distR="114300">
            <wp:extent cx="2985770" cy="2239645"/>
            <wp:effectExtent l="0" t="0" r="5080" b="8255"/>
            <wp:docPr id="313" name="图片 313" descr="5bad1d3219331f11493f6b47b39fa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313" descr="5bad1d3219331f11493f6b47b39fa23"/>
                    <pic:cNvPicPr>
                      <a:picLocks noChangeAspect="1"/>
                    </pic:cNvPicPr>
                  </pic:nvPicPr>
                  <pic:blipFill>
                    <a:blip r:embed="rId58"/>
                    <a:stretch>
                      <a:fillRect/>
                    </a:stretch>
                  </pic:blipFill>
                  <pic:spPr>
                    <a:xfrm>
                      <a:off x="0" y="0"/>
                      <a:ext cx="2985770" cy="2239645"/>
                    </a:xfrm>
                    <a:prstGeom prst="rect">
                      <a:avLst/>
                    </a:prstGeom>
                  </pic:spPr>
                </pic:pic>
              </a:graphicData>
            </a:graphic>
          </wp:inline>
        </w:drawing>
      </w:r>
    </w:p>
    <w:p>
      <w:pPr>
        <w:pStyle w:val="17"/>
        <w:bidi w:val="0"/>
        <w:rPr>
          <w:rFonts w:hint="eastAsia"/>
        </w:rPr>
      </w:pPr>
      <w:r>
        <w:rPr>
          <w:rFonts w:hint="eastAsia"/>
        </w:rPr>
        <w:t>部分专用设备情况</w:t>
      </w:r>
    </w:p>
    <w:p>
      <w:pPr>
        <w:rPr>
          <w:rFonts w:ascii="Arial"/>
          <w:sz w:val="21"/>
        </w:rPr>
      </w:pPr>
    </w:p>
    <w:p>
      <w:pPr>
        <w:sectPr>
          <w:headerReference r:id="rId22" w:type="default"/>
          <w:footerReference r:id="rId23" w:type="default"/>
          <w:pgSz w:w="11906" w:h="16840"/>
          <w:pgMar w:top="1440" w:right="1080" w:bottom="1440" w:left="1080" w:header="901" w:footer="852" w:gutter="0"/>
          <w:pgNumType w:fmt="decimal"/>
          <w:cols w:space="720" w:num="1"/>
        </w:sectPr>
      </w:pPr>
    </w:p>
    <w:p>
      <w:pPr>
        <w:pStyle w:val="4"/>
        <w:numPr>
          <w:ilvl w:val="0"/>
          <w:numId w:val="2"/>
        </w:numPr>
        <w:bidi w:val="0"/>
        <w:rPr>
          <w:rFonts w:hint="eastAsia"/>
          <w:highlight w:val="none"/>
          <w:lang w:val="en-US" w:eastAsia="zh-CN"/>
        </w:rPr>
      </w:pPr>
      <w:bookmarkStart w:id="84" w:name="_bookmark43"/>
      <w:bookmarkEnd w:id="84"/>
      <w:bookmarkStart w:id="85" w:name="_Toc13336"/>
      <w:r>
        <w:rPr>
          <w:rFonts w:hint="eastAsia"/>
          <w:highlight w:val="none"/>
          <w:u w:val="none"/>
          <w:lang w:val="en-US" w:eastAsia="zh-CN"/>
        </w:rPr>
        <w:t>通用设备清单</w:t>
      </w:r>
      <w:bookmarkEnd w:id="85"/>
    </w:p>
    <w:tbl>
      <w:tblPr>
        <w:tblStyle w:val="13"/>
        <w:tblW w:w="9956" w:type="dxa"/>
        <w:tblInd w:w="98" w:type="dxa"/>
        <w:tblLayout w:type="fixed"/>
        <w:tblCellMar>
          <w:top w:w="0" w:type="dxa"/>
          <w:left w:w="108" w:type="dxa"/>
          <w:bottom w:w="0" w:type="dxa"/>
          <w:right w:w="108" w:type="dxa"/>
        </w:tblCellMar>
      </w:tblPr>
      <w:tblGrid>
        <w:gridCol w:w="711"/>
        <w:gridCol w:w="1201"/>
        <w:gridCol w:w="1146"/>
        <w:gridCol w:w="1237"/>
        <w:gridCol w:w="672"/>
        <w:gridCol w:w="1825"/>
        <w:gridCol w:w="1976"/>
      </w:tblGrid>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default" w:ascii="宋体" w:hAnsi="宋体" w:eastAsia="宋体" w:cs="宋体"/>
                <w:b/>
                <w:bCs/>
                <w:i w:val="0"/>
                <w:iCs w:val="0"/>
                <w:color w:val="000000"/>
                <w:kern w:val="0"/>
                <w:sz w:val="21"/>
                <w:szCs w:val="21"/>
                <w:u w:val="none"/>
                <w:lang w:val="en-US" w:eastAsia="zh-CN" w:bidi="ar"/>
              </w:rPr>
              <w:t>序号</w:t>
            </w:r>
          </w:p>
        </w:tc>
        <w:tc>
          <w:tcPr>
            <w:tcW w:w="12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default" w:ascii="宋体" w:hAnsi="宋体" w:eastAsia="宋体" w:cs="宋体"/>
                <w:b/>
                <w:bCs/>
                <w:i w:val="0"/>
                <w:iCs w:val="0"/>
                <w:color w:val="000000"/>
                <w:kern w:val="0"/>
                <w:sz w:val="21"/>
                <w:szCs w:val="21"/>
                <w:u w:val="none"/>
                <w:lang w:val="en-US" w:eastAsia="zh-CN" w:bidi="ar"/>
              </w:rPr>
              <w:t>设备名称</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型号</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数量</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功率</w:t>
            </w:r>
            <w:r>
              <w:rPr>
                <w:rFonts w:hint="default" w:ascii="仿宋" w:hAnsi="仿宋" w:eastAsia="仿宋" w:cs="仿宋"/>
                <w:b/>
                <w:bCs/>
                <w:i w:val="0"/>
                <w:iCs w:val="0"/>
                <w:color w:val="000000"/>
                <w:kern w:val="0"/>
                <w:sz w:val="21"/>
                <w:szCs w:val="21"/>
                <w:u w:val="none"/>
                <w:lang w:val="en-US" w:eastAsia="zh-CN" w:bidi="ar"/>
              </w:rPr>
              <w:t>（kW/</w:t>
            </w:r>
            <w:r>
              <w:rPr>
                <w:rFonts w:hint="eastAsia" w:ascii="仿宋" w:hAnsi="仿宋" w:eastAsia="仿宋" w:cs="仿宋"/>
                <w:b/>
                <w:bCs/>
                <w:i w:val="0"/>
                <w:iCs w:val="0"/>
                <w:color w:val="000000"/>
                <w:kern w:val="0"/>
                <w:sz w:val="21"/>
                <w:szCs w:val="21"/>
                <w:u w:val="none"/>
                <w:lang w:val="en-US" w:eastAsia="zh-CN" w:bidi="ar"/>
              </w:rPr>
              <w:t>台）</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是否满足三级能效</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w:t>
            </w:r>
          </w:p>
        </w:tc>
        <w:tc>
          <w:tcPr>
            <w:tcW w:w="12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变压器</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SCB13-1600/20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1600kVA</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eastAsia="仿宋"/>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2</w:t>
            </w:r>
          </w:p>
        </w:tc>
        <w:tc>
          <w:tcPr>
            <w:tcW w:w="12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变压器</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SCB11-1600/20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1600kVA</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eastAsia="仿宋"/>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w:t>
            </w:r>
          </w:p>
        </w:tc>
        <w:tc>
          <w:tcPr>
            <w:tcW w:w="12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变压器</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SCB11-1250/20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1250kVA</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default"/>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201" w:type="dxa"/>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空压机</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AA6-55A-F-0. 8</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default"/>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空压机</w:t>
            </w:r>
          </w:p>
        </w:tc>
        <w:tc>
          <w:tcPr>
            <w:tcW w:w="11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LA55-7A</w:t>
            </w:r>
          </w:p>
        </w:tc>
        <w:tc>
          <w:tcPr>
            <w:tcW w:w="12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ASLP-YD020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空压机</w:t>
            </w:r>
          </w:p>
        </w:tc>
        <w:tc>
          <w:tcPr>
            <w:tcW w:w="11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L55G-10A</w:t>
            </w:r>
          </w:p>
        </w:tc>
        <w:tc>
          <w:tcPr>
            <w:tcW w:w="12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ASLP-YD020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废气处理装置</w:t>
            </w:r>
          </w:p>
        </w:tc>
        <w:tc>
          <w:tcPr>
            <w:tcW w:w="11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12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ASLP-YD020</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45</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纯水处理装置</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3t/h</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废水处理和中水回用处理装 置</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85</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r>
        <w:tblPrEx>
          <w:tblCellMar>
            <w:top w:w="0" w:type="dxa"/>
            <w:left w:w="108" w:type="dxa"/>
            <w:bottom w:w="0" w:type="dxa"/>
            <w:right w:w="108" w:type="dxa"/>
          </w:tblCellMar>
        </w:tblPrEx>
        <w:trPr>
          <w:trHeight w:val="340"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w:t>
            </w:r>
          </w:p>
        </w:tc>
        <w:tc>
          <w:tcPr>
            <w:tcW w:w="1201" w:type="dxa"/>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冷却塔</w:t>
            </w:r>
          </w:p>
        </w:tc>
        <w:tc>
          <w:tcPr>
            <w:tcW w:w="23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东元</w:t>
            </w:r>
          </w:p>
        </w:tc>
        <w:tc>
          <w:tcPr>
            <w:tcW w:w="6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1976" w:type="dxa"/>
            <w:tcBorders>
              <w:top w:val="single" w:color="000000" w:sz="4" w:space="0"/>
              <w:left w:val="single" w:color="000000" w:sz="4" w:space="0"/>
              <w:bottom w:val="single" w:color="000000" w:sz="4" w:space="0"/>
              <w:right w:val="single" w:color="000000" w:sz="4" w:space="0"/>
            </w:tcBorders>
            <w:noWrap/>
            <w:vAlign w:val="center"/>
          </w:tcPr>
          <w:p>
            <w:pPr>
              <w:pStyle w:val="20"/>
              <w:bidi w:val="0"/>
              <w:rPr>
                <w:rFonts w:hint="eastAsia"/>
                <w:lang w:val="en-US" w:eastAsia="zh-CN"/>
              </w:rPr>
            </w:pPr>
            <w:r>
              <w:rPr>
                <w:rFonts w:hint="eastAsia"/>
                <w:lang w:val="en-US" w:eastAsia="zh-CN"/>
              </w:rPr>
              <w:t>满足</w:t>
            </w:r>
          </w:p>
        </w:tc>
      </w:tr>
    </w:tbl>
    <w:p>
      <w:pPr>
        <w:pStyle w:val="17"/>
        <w:bidi w:val="0"/>
        <w:rPr>
          <w:rFonts w:hint="eastAsia"/>
          <w:lang w:eastAsia="zh-CN"/>
        </w:rPr>
      </w:pPr>
      <w:r>
        <w:drawing>
          <wp:inline distT="0" distB="0" distL="114300" distR="114300">
            <wp:extent cx="2992120" cy="2565400"/>
            <wp:effectExtent l="0" t="0" r="17780" b="6350"/>
            <wp:docPr id="99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 name="图片 12"/>
                    <pic:cNvPicPr>
                      <a:picLocks noChangeAspect="1"/>
                    </pic:cNvPicPr>
                  </pic:nvPicPr>
                  <pic:blipFill>
                    <a:blip r:embed="rId59"/>
                    <a:stretch>
                      <a:fillRect/>
                    </a:stretch>
                  </pic:blipFill>
                  <pic:spPr>
                    <a:xfrm>
                      <a:off x="0" y="0"/>
                      <a:ext cx="2992120" cy="2565400"/>
                    </a:xfrm>
                    <a:prstGeom prst="rect">
                      <a:avLst/>
                    </a:prstGeom>
                    <a:noFill/>
                    <a:ln>
                      <a:noFill/>
                    </a:ln>
                  </pic:spPr>
                </pic:pic>
              </a:graphicData>
            </a:graphic>
          </wp:inline>
        </w:drawing>
      </w:r>
      <w:r>
        <w:drawing>
          <wp:inline distT="0" distB="0" distL="114300" distR="114300">
            <wp:extent cx="2863850" cy="2552065"/>
            <wp:effectExtent l="0" t="0" r="12700" b="635"/>
            <wp:docPr id="99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 name="图片 14"/>
                    <pic:cNvPicPr>
                      <a:picLocks noChangeAspect="1"/>
                    </pic:cNvPicPr>
                  </pic:nvPicPr>
                  <pic:blipFill>
                    <a:blip r:embed="rId60"/>
                    <a:stretch>
                      <a:fillRect/>
                    </a:stretch>
                  </pic:blipFill>
                  <pic:spPr>
                    <a:xfrm>
                      <a:off x="0" y="0"/>
                      <a:ext cx="2863850" cy="2552065"/>
                    </a:xfrm>
                    <a:prstGeom prst="rect">
                      <a:avLst/>
                    </a:prstGeom>
                    <a:noFill/>
                    <a:ln>
                      <a:noFill/>
                    </a:ln>
                  </pic:spPr>
                </pic:pic>
              </a:graphicData>
            </a:graphic>
          </wp:inline>
        </w:drawing>
      </w:r>
      <w:r>
        <w:rPr>
          <w:rFonts w:hint="default"/>
          <w:lang w:val="en-US" w:eastAsia="zh-CN"/>
        </w:rPr>
        <w:drawing>
          <wp:inline distT="0" distB="0" distL="114300" distR="114300">
            <wp:extent cx="2696210" cy="2022475"/>
            <wp:effectExtent l="0" t="0" r="15875" b="8890"/>
            <wp:docPr id="10" name="图片 10" descr="237c4b91c08fe7f84f9b5de4caa59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37c4b91c08fe7f84f9b5de4caa595e"/>
                    <pic:cNvPicPr>
                      <a:picLocks noChangeAspect="1"/>
                    </pic:cNvPicPr>
                  </pic:nvPicPr>
                  <pic:blipFill>
                    <a:blip r:embed="rId61"/>
                    <a:stretch>
                      <a:fillRect/>
                    </a:stretch>
                  </pic:blipFill>
                  <pic:spPr>
                    <a:xfrm rot="5400000">
                      <a:off x="0" y="0"/>
                      <a:ext cx="2696210" cy="2022475"/>
                    </a:xfrm>
                    <a:prstGeom prst="rect">
                      <a:avLst/>
                    </a:prstGeom>
                  </pic:spPr>
                </pic:pic>
              </a:graphicData>
            </a:graphic>
          </wp:inline>
        </w:drawing>
      </w:r>
      <w:r>
        <w:rPr>
          <w:rFonts w:hint="default"/>
          <w:lang w:val="en-US" w:eastAsia="zh-CN"/>
        </w:rPr>
        <w:drawing>
          <wp:inline distT="0" distB="0" distL="114300" distR="114300">
            <wp:extent cx="3403600" cy="2719070"/>
            <wp:effectExtent l="0" t="0" r="6350" b="5080"/>
            <wp:docPr id="21" name="图片 21" descr="0cf95eca497e45ff39c93c72e5118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0cf95eca497e45ff39c93c72e5118da"/>
                    <pic:cNvPicPr>
                      <a:picLocks noChangeAspect="1"/>
                    </pic:cNvPicPr>
                  </pic:nvPicPr>
                  <pic:blipFill>
                    <a:blip r:embed="rId62"/>
                    <a:stretch>
                      <a:fillRect/>
                    </a:stretch>
                  </pic:blipFill>
                  <pic:spPr>
                    <a:xfrm>
                      <a:off x="0" y="0"/>
                      <a:ext cx="3403600" cy="2719070"/>
                    </a:xfrm>
                    <a:prstGeom prst="rect">
                      <a:avLst/>
                    </a:prstGeom>
                  </pic:spPr>
                </pic:pic>
              </a:graphicData>
            </a:graphic>
          </wp:inline>
        </w:drawing>
      </w:r>
      <w:r>
        <w:rPr>
          <w:rFonts w:hint="default"/>
          <w:lang w:val="en-US" w:eastAsia="zh-CN"/>
        </w:rPr>
        <w:drawing>
          <wp:inline distT="0" distB="0" distL="114300" distR="114300">
            <wp:extent cx="2520315" cy="3403600"/>
            <wp:effectExtent l="0" t="0" r="13335" b="6350"/>
            <wp:docPr id="24" name="图片 24" descr="33569bb6b0dad4ce2ded3d271a686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33569bb6b0dad4ce2ded3d271a686f7"/>
                    <pic:cNvPicPr>
                      <a:picLocks noChangeAspect="1"/>
                    </pic:cNvPicPr>
                  </pic:nvPicPr>
                  <pic:blipFill>
                    <a:blip r:embed="rId63"/>
                    <a:stretch>
                      <a:fillRect/>
                    </a:stretch>
                  </pic:blipFill>
                  <pic:spPr>
                    <a:xfrm>
                      <a:off x="0" y="0"/>
                      <a:ext cx="2520315" cy="3403600"/>
                    </a:xfrm>
                    <a:prstGeom prst="rect">
                      <a:avLst/>
                    </a:prstGeom>
                  </pic:spPr>
                </pic:pic>
              </a:graphicData>
            </a:graphic>
          </wp:inline>
        </w:drawing>
      </w:r>
      <w:r>
        <w:rPr>
          <w:rFonts w:hint="default"/>
          <w:lang w:val="en-US" w:eastAsia="zh-CN"/>
        </w:rPr>
        <w:drawing>
          <wp:inline distT="0" distB="0" distL="114300" distR="114300">
            <wp:extent cx="3360420" cy="2962910"/>
            <wp:effectExtent l="0" t="0" r="8890" b="11430"/>
            <wp:docPr id="25" name="图片 25" descr="9aa399db515ae29a0a24dcb1660b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9aa399db515ae29a0a24dcb1660b361"/>
                    <pic:cNvPicPr>
                      <a:picLocks noChangeAspect="1"/>
                    </pic:cNvPicPr>
                  </pic:nvPicPr>
                  <pic:blipFill>
                    <a:blip r:embed="rId64"/>
                    <a:stretch>
                      <a:fillRect/>
                    </a:stretch>
                  </pic:blipFill>
                  <pic:spPr>
                    <a:xfrm rot="5400000">
                      <a:off x="0" y="0"/>
                      <a:ext cx="3360420" cy="2962910"/>
                    </a:xfrm>
                    <a:prstGeom prst="rect">
                      <a:avLst/>
                    </a:prstGeom>
                  </pic:spPr>
                </pic:pic>
              </a:graphicData>
            </a:graphic>
          </wp:inline>
        </w:drawing>
      </w:r>
      <w:r>
        <w:rPr>
          <w:rFonts w:hint="eastAsia"/>
          <w:lang w:val="en-US" w:eastAsia="zh-CN"/>
        </w:rPr>
        <w:t xml:space="preserve"> </w:t>
      </w: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rPr>
          <w:rFonts w:hint="eastAsia"/>
          <w:lang w:eastAsia="zh-CN"/>
        </w:rPr>
      </w:pPr>
    </w:p>
    <w:p>
      <w:pPr>
        <w:pStyle w:val="17"/>
        <w:bidi w:val="0"/>
        <w:jc w:val="both"/>
        <w:rPr>
          <w:rFonts w:hint="eastAsia"/>
          <w:lang w:eastAsia="zh-CN"/>
        </w:rPr>
      </w:pPr>
    </w:p>
    <w:p>
      <w:pPr>
        <w:pStyle w:val="4"/>
        <w:bidi w:val="0"/>
      </w:pPr>
      <w:bookmarkStart w:id="86" w:name="_Toc27574"/>
      <w:r>
        <w:rPr>
          <w:rFonts w:hint="eastAsia"/>
          <w:lang w:val="en-US" w:eastAsia="zh-CN"/>
        </w:rPr>
        <w:t>5、</w:t>
      </w:r>
      <w:r>
        <w:t>厂区平面图</w:t>
      </w:r>
      <w:bookmarkEnd w:id="86"/>
    </w:p>
    <w:p>
      <w:pPr>
        <w:spacing w:line="446" w:lineRule="auto"/>
        <w:rPr>
          <w:rFonts w:ascii="Arial"/>
          <w:sz w:val="21"/>
        </w:rPr>
      </w:pPr>
    </w:p>
    <w:p>
      <w:pPr>
        <w:bidi w:val="0"/>
        <w:jc w:val="center"/>
        <w:rPr>
          <w:rFonts w:hint="eastAsia" w:eastAsia="仿宋"/>
          <w:lang w:eastAsia="zh-CN"/>
        </w:rPr>
      </w:pPr>
      <w:bookmarkStart w:id="87" w:name="_bookmark44"/>
      <w:bookmarkEnd w:id="87"/>
      <w:bookmarkStart w:id="88" w:name="_bookmark45"/>
      <w:bookmarkEnd w:id="88"/>
      <w:r>
        <w:drawing>
          <wp:inline distT="0" distB="0" distL="114300" distR="114300">
            <wp:extent cx="5667375" cy="3400425"/>
            <wp:effectExtent l="0" t="0" r="9525" b="9525"/>
            <wp:docPr id="86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 name="图片 2"/>
                    <pic:cNvPicPr>
                      <a:picLocks noChangeAspect="1"/>
                    </pic:cNvPicPr>
                  </pic:nvPicPr>
                  <pic:blipFill>
                    <a:blip r:embed="rId65"/>
                    <a:stretch>
                      <a:fillRect/>
                    </a:stretch>
                  </pic:blipFill>
                  <pic:spPr>
                    <a:xfrm>
                      <a:off x="0" y="0"/>
                      <a:ext cx="5667375" cy="3400425"/>
                    </a:xfrm>
                    <a:prstGeom prst="rect">
                      <a:avLst/>
                    </a:prstGeom>
                    <a:noFill/>
                    <a:ln>
                      <a:noFill/>
                    </a:ln>
                  </pic:spPr>
                </pic:pic>
              </a:graphicData>
            </a:graphic>
          </wp:inline>
        </w:drawing>
      </w:r>
    </w:p>
    <w:p>
      <w:pPr>
        <w:bidi w:val="0"/>
        <w:rPr>
          <w:rFonts w:hint="eastAsia" w:eastAsia="仿宋"/>
          <w:lang w:eastAsia="zh-CN"/>
        </w:rPr>
      </w:pPr>
    </w:p>
    <w:p>
      <w:pPr>
        <w:bidi w:val="0"/>
        <w:rPr>
          <w:rFonts w:hint="eastAsia" w:eastAsia="仿宋"/>
          <w:lang w:eastAsia="zh-CN"/>
        </w:rPr>
      </w:pPr>
    </w:p>
    <w:p>
      <w:pPr>
        <w:bidi w:val="0"/>
        <w:rPr>
          <w:rFonts w:hint="eastAsia" w:eastAsia="仿宋"/>
          <w:lang w:eastAsia="zh-CN"/>
        </w:rPr>
      </w:pPr>
      <w:r>
        <w:rPr>
          <w:rFonts w:hint="eastAsia" w:eastAsia="仿宋"/>
          <w:lang w:eastAsia="zh-CN"/>
        </w:rPr>
        <w:drawing>
          <wp:inline distT="0" distB="0" distL="114300" distR="114300">
            <wp:extent cx="6181090" cy="4370705"/>
            <wp:effectExtent l="0" t="0" r="10160" b="10795"/>
            <wp:docPr id="530" name="图片 530" descr="群展紧固件新建工程总平面图-Model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图片 530" descr="群展紧固件新建工程总平面图-Model_00"/>
                    <pic:cNvPicPr>
                      <a:picLocks noChangeAspect="1"/>
                    </pic:cNvPicPr>
                  </pic:nvPicPr>
                  <pic:blipFill>
                    <a:blip r:embed="rId66"/>
                    <a:stretch>
                      <a:fillRect/>
                    </a:stretch>
                  </pic:blipFill>
                  <pic:spPr>
                    <a:xfrm>
                      <a:off x="0" y="0"/>
                      <a:ext cx="6181090" cy="4370705"/>
                    </a:xfrm>
                    <a:prstGeom prst="rect">
                      <a:avLst/>
                    </a:prstGeom>
                  </pic:spPr>
                </pic:pic>
              </a:graphicData>
            </a:graphic>
          </wp:inline>
        </w:drawing>
      </w:r>
    </w:p>
    <w:p>
      <w:pPr>
        <w:rPr>
          <w:rFonts w:ascii="Times New Roman" w:hAnsi="Times New Roman" w:eastAsia="Times New Roman" w:cs="Times New Roman"/>
          <w:b/>
          <w:bCs/>
          <w:spacing w:val="-4"/>
          <w:position w:val="2"/>
          <w:sz w:val="23"/>
          <w:szCs w:val="23"/>
        </w:rPr>
      </w:pPr>
      <w:r>
        <w:rPr>
          <w:rFonts w:ascii="Times New Roman" w:hAnsi="Times New Roman" w:eastAsia="Times New Roman" w:cs="Times New Roman"/>
          <w:b/>
          <w:bCs/>
          <w:spacing w:val="-4"/>
          <w:position w:val="2"/>
          <w:sz w:val="23"/>
          <w:szCs w:val="23"/>
        </w:rPr>
        <w:br w:type="page"/>
      </w:r>
    </w:p>
    <w:p>
      <w:pPr>
        <w:pStyle w:val="4"/>
        <w:bidi w:val="0"/>
      </w:pPr>
      <w:bookmarkStart w:id="89" w:name="_Toc21944"/>
      <w:r>
        <w:rPr>
          <w:rFonts w:hint="eastAsia"/>
          <w:lang w:val="en-US" w:eastAsia="zh-CN"/>
        </w:rPr>
        <w:t>6</w:t>
      </w:r>
      <w:r>
        <w:t>、生产工艺流程图及简述</w:t>
      </w:r>
      <w:bookmarkEnd w:id="89"/>
    </w:p>
    <w:p>
      <w:pPr>
        <w:pStyle w:val="17"/>
        <w:bidi w:val="0"/>
      </w:pPr>
      <w:r>
        <w:drawing>
          <wp:inline distT="0" distB="0" distL="114300" distR="114300">
            <wp:extent cx="3693795" cy="1490980"/>
            <wp:effectExtent l="0" t="0" r="1905" b="13970"/>
            <wp:docPr id="86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 name="图片 3"/>
                    <pic:cNvPicPr>
                      <a:picLocks noChangeAspect="1"/>
                    </pic:cNvPicPr>
                  </pic:nvPicPr>
                  <pic:blipFill>
                    <a:blip r:embed="rId39"/>
                    <a:stretch>
                      <a:fillRect/>
                    </a:stretch>
                  </pic:blipFill>
                  <pic:spPr>
                    <a:xfrm>
                      <a:off x="0" y="0"/>
                      <a:ext cx="3693795" cy="1490980"/>
                    </a:xfrm>
                    <a:prstGeom prst="rect">
                      <a:avLst/>
                    </a:prstGeom>
                    <a:noFill/>
                    <a:ln>
                      <a:noFill/>
                    </a:ln>
                  </pic:spPr>
                </pic:pic>
              </a:graphicData>
            </a:graphic>
          </wp:inline>
        </w:drawing>
      </w:r>
    </w:p>
    <w:p>
      <w:pPr>
        <w:pStyle w:val="17"/>
        <w:bidi w:val="0"/>
        <w:rPr>
          <w:rFonts w:hint="eastAsia"/>
          <w:lang w:eastAsia="zh-CN"/>
        </w:rPr>
      </w:pPr>
    </w:p>
    <w:p>
      <w:pPr>
        <w:pStyle w:val="7"/>
        <w:bidi w:val="0"/>
        <w:rPr>
          <w:rFonts w:hint="eastAsia"/>
          <w:lang w:val="en-US" w:eastAsia="zh-CN"/>
        </w:rPr>
      </w:pPr>
      <w:r>
        <w:rPr>
          <w:rFonts w:hint="eastAsia"/>
          <w:lang w:val="en-US" w:eastAsia="zh-CN"/>
        </w:rPr>
        <w:t>总生产工艺流程图产污环节图</w:t>
      </w:r>
    </w:p>
    <w:p>
      <w:pPr>
        <w:pStyle w:val="8"/>
        <w:bidi w:val="0"/>
        <w:rPr>
          <w:rFonts w:hint="default"/>
          <w:b/>
          <w:bCs/>
          <w:lang w:val="en-US" w:eastAsia="zh-CN"/>
        </w:rPr>
      </w:pPr>
      <w:r>
        <w:rPr>
          <w:rFonts w:hint="default"/>
          <w:b/>
          <w:bCs/>
          <w:lang w:val="en-US" w:eastAsia="zh-CN"/>
        </w:rPr>
        <w:t xml:space="preserve">工艺说明： </w:t>
      </w:r>
    </w:p>
    <w:p>
      <w:pPr>
        <w:pStyle w:val="8"/>
        <w:numPr>
          <w:ilvl w:val="0"/>
          <w:numId w:val="3"/>
        </w:numPr>
        <w:bidi w:val="0"/>
        <w:rPr>
          <w:rFonts w:hint="eastAsia" w:eastAsia="宋体"/>
          <w:b w:val="0"/>
          <w:bCs w:val="0"/>
          <w:lang w:val="en-US" w:eastAsia="zh-CN"/>
        </w:rPr>
      </w:pPr>
      <w:r>
        <w:rPr>
          <w:rFonts w:hint="eastAsia" w:eastAsia="宋体"/>
          <w:b/>
          <w:bCs/>
          <w:lang w:val="en-US" w:eastAsia="zh-CN"/>
        </w:rPr>
        <w:t>成型、辗牙</w:t>
      </w:r>
      <w:r>
        <w:rPr>
          <w:rFonts w:hint="eastAsia" w:eastAsia="宋体"/>
          <w:b w:val="0"/>
          <w:bCs w:val="0"/>
          <w:lang w:val="en-US" w:eastAsia="zh-CN"/>
        </w:rPr>
        <w:t>：产品生产时，按产品规格要求，将线材在成型机内截断、成型，然后经辗牙机攻牙后，送去磷工序。</w:t>
      </w:r>
    </w:p>
    <w:p>
      <w:pPr>
        <w:pStyle w:val="8"/>
        <w:numPr>
          <w:ilvl w:val="0"/>
          <w:numId w:val="3"/>
        </w:numPr>
        <w:bidi w:val="0"/>
        <w:rPr>
          <w:rFonts w:hint="eastAsia" w:eastAsia="宋体"/>
          <w:b w:val="0"/>
          <w:bCs w:val="0"/>
          <w:lang w:val="en-US" w:eastAsia="zh-CN"/>
        </w:rPr>
      </w:pPr>
      <w:r>
        <w:rPr>
          <w:rFonts w:hint="eastAsia" w:eastAsia="宋体"/>
          <w:b/>
          <w:bCs/>
          <w:lang w:val="en-US" w:eastAsia="zh-CN"/>
        </w:rPr>
        <w:t>去磷</w:t>
      </w:r>
      <w:r>
        <w:rPr>
          <w:rFonts w:hint="eastAsia" w:eastAsia="宋体"/>
          <w:b w:val="0"/>
          <w:bCs w:val="0"/>
          <w:lang w:val="en-US" w:eastAsia="zh-CN"/>
        </w:rPr>
        <w:t xml:space="preserve">：由于产品强度要求较高，热处理前设一条去磷线，以去除表面油污。去磷线具体生产工序：紧固件→前清洗→除磷→后清洗→出料。   </w:t>
      </w:r>
    </w:p>
    <w:p>
      <w:pPr>
        <w:pStyle w:val="8"/>
        <w:numPr>
          <w:ilvl w:val="0"/>
          <w:numId w:val="0"/>
        </w:numPr>
        <w:bidi w:val="0"/>
        <w:ind w:firstLine="560" w:firstLineChars="200"/>
        <w:rPr>
          <w:rFonts w:hint="eastAsia" w:eastAsia="宋体"/>
          <w:b w:val="0"/>
          <w:bCs w:val="0"/>
          <w:lang w:val="en-US" w:eastAsia="zh-CN"/>
        </w:rPr>
      </w:pPr>
      <w:r>
        <w:rPr>
          <w:rFonts w:hint="eastAsia" w:eastAsia="宋体"/>
          <w:b w:val="0"/>
          <w:bCs w:val="0"/>
          <w:lang w:val="en-US" w:eastAsia="zh-CN"/>
        </w:rPr>
        <w:t xml:space="preserve"> ①前清洗：前清洗的作用是去除紧固件表面的油污等。前洗涤工序操作温度为 50～80℃。槽液配方：FC-346S 粉剂 5～15g/l（FC-346S 粉剂主要由偏硅酸钠、三聚磷酸钠、聚氧乙烯醚、表面活性剂组成） 。 </w:t>
      </w:r>
    </w:p>
    <w:p>
      <w:pPr>
        <w:pStyle w:val="8"/>
        <w:numPr>
          <w:ilvl w:val="0"/>
          <w:numId w:val="0"/>
        </w:numPr>
        <w:bidi w:val="0"/>
        <w:ind w:firstLine="560" w:firstLineChars="200"/>
        <w:rPr>
          <w:rFonts w:hint="eastAsia" w:eastAsia="宋体"/>
          <w:b w:val="0"/>
          <w:bCs w:val="0"/>
          <w:lang w:val="en-US" w:eastAsia="zh-CN"/>
        </w:rPr>
      </w:pPr>
      <w:r>
        <w:rPr>
          <w:rFonts w:hint="eastAsia" w:eastAsia="宋体"/>
          <w:b w:val="0"/>
          <w:bCs w:val="0"/>
          <w:lang w:val="en-US" w:eastAsia="zh-CN"/>
        </w:rPr>
        <w:t>②除磷：除磷的作用是去除紧固件表面的磷酸盐皮膜。除磷工序操作温度50～80℃。槽液配方：FC-4345S-1粉剂60～100g/l（FC-4345S-1 粉剂由氢氧化钠、螯合剂、有机酸盐组成）、FC-4345L-2 液剂 20~40g/l（FC-4345L-2 液剂由氢氧化钠、表面活性剂组成）。</w:t>
      </w:r>
    </w:p>
    <w:p>
      <w:pPr>
        <w:pStyle w:val="8"/>
        <w:numPr>
          <w:ilvl w:val="0"/>
          <w:numId w:val="0"/>
        </w:numPr>
        <w:bidi w:val="0"/>
        <w:ind w:firstLine="560" w:firstLineChars="200"/>
        <w:rPr>
          <w:rFonts w:hint="eastAsia" w:eastAsia="宋体"/>
          <w:b w:val="0"/>
          <w:bCs w:val="0"/>
          <w:lang w:val="en-US" w:eastAsia="zh-CN"/>
        </w:rPr>
      </w:pPr>
      <w:r>
        <w:rPr>
          <w:rFonts w:hint="eastAsia" w:eastAsia="宋体"/>
          <w:b w:val="0"/>
          <w:bCs w:val="0"/>
          <w:lang w:val="en-US" w:eastAsia="zh-CN"/>
        </w:rPr>
        <w:t>③后清洗：后清洗的作用是用水清除紧固件表面的化学药剂。</w:t>
      </w:r>
    </w:p>
    <w:p>
      <w:pPr>
        <w:pStyle w:val="8"/>
        <w:numPr>
          <w:ilvl w:val="0"/>
          <w:numId w:val="0"/>
        </w:numPr>
        <w:bidi w:val="0"/>
        <w:ind w:firstLine="562" w:firstLineChars="200"/>
        <w:rPr>
          <w:rFonts w:hint="eastAsia" w:eastAsia="宋体"/>
          <w:b w:val="0"/>
          <w:bCs w:val="0"/>
          <w:lang w:val="en-US" w:eastAsia="zh-CN"/>
        </w:rPr>
      </w:pPr>
      <w:r>
        <w:rPr>
          <w:rFonts w:hint="eastAsia" w:eastAsia="宋体"/>
          <w:b/>
          <w:bCs/>
          <w:lang w:val="en-US" w:eastAsia="zh-CN"/>
        </w:rPr>
        <w:t>3）热处理</w:t>
      </w:r>
      <w:r>
        <w:rPr>
          <w:rFonts w:hint="eastAsia" w:eastAsia="宋体"/>
          <w:b w:val="0"/>
          <w:bCs w:val="0"/>
          <w:lang w:val="en-US" w:eastAsia="zh-CN"/>
        </w:rPr>
        <w:t>：为了提高紧固件的综合力学性能，以满足产品规定的抗拉强度和屈强比，经过成型、碾牙、去磷后的毛坯件需进行热处理。热处理采用连续式热处理线，主要包括淬火、回火等几道工序，具体工序过程：辗牙→热水洗→加温渗碳→淬火→热水洗→回火。</w:t>
      </w:r>
    </w:p>
    <w:p>
      <w:pPr>
        <w:pStyle w:val="8"/>
        <w:numPr>
          <w:ilvl w:val="0"/>
          <w:numId w:val="0"/>
        </w:numPr>
        <w:bidi w:val="0"/>
        <w:ind w:firstLine="560" w:firstLineChars="200"/>
        <w:rPr>
          <w:rFonts w:hint="eastAsia" w:eastAsia="宋体"/>
          <w:b w:val="0"/>
          <w:bCs w:val="0"/>
          <w:lang w:val="en-US" w:eastAsia="zh-CN"/>
        </w:rPr>
      </w:pPr>
      <w:r>
        <w:rPr>
          <w:rFonts w:hint="eastAsia" w:eastAsia="宋体"/>
          <w:b w:val="0"/>
          <w:bCs w:val="0"/>
          <w:lang w:val="en-US" w:eastAsia="zh-CN"/>
        </w:rPr>
        <w:t xml:space="preserve">a、热水洗：紧固件在进行热处理前需先用热水进行清洗，以清洁紧固件表面油污。清洗热水经油水分离器进行分离，分离出油集中回收，热水进行重新循环使用。 </w:t>
      </w:r>
    </w:p>
    <w:p>
      <w:pPr>
        <w:pStyle w:val="8"/>
        <w:numPr>
          <w:ilvl w:val="0"/>
          <w:numId w:val="0"/>
        </w:numPr>
        <w:bidi w:val="0"/>
        <w:ind w:firstLine="560" w:firstLineChars="200"/>
        <w:rPr>
          <w:rFonts w:hint="eastAsia" w:eastAsia="宋体"/>
          <w:b w:val="0"/>
          <w:bCs w:val="0"/>
          <w:lang w:val="en-US" w:eastAsia="zh-CN"/>
        </w:rPr>
      </w:pPr>
      <w:r>
        <w:rPr>
          <w:rFonts w:hint="eastAsia" w:eastAsia="宋体"/>
          <w:b w:val="0"/>
          <w:bCs w:val="0"/>
          <w:lang w:val="en-US" w:eastAsia="zh-CN"/>
        </w:rPr>
        <w:t>b、加温渗碳：紧固件在加温炉内加温，然后加入液化气、甲醇等进行渗碳处理，以改变紧固件的性能。热处理采用电加热方式，加热温度根据紧固件大小、材质、产品要求不同而有所不同，温度一般控制在860℃左右。</w:t>
      </w:r>
    </w:p>
    <w:p>
      <w:pPr>
        <w:pStyle w:val="8"/>
        <w:numPr>
          <w:ilvl w:val="0"/>
          <w:numId w:val="0"/>
        </w:numPr>
        <w:bidi w:val="0"/>
        <w:ind w:firstLine="560" w:firstLineChars="200"/>
        <w:rPr>
          <w:rFonts w:hint="eastAsia" w:eastAsia="宋体"/>
          <w:b w:val="0"/>
          <w:bCs w:val="0"/>
          <w:lang w:val="en-US" w:eastAsia="zh-CN"/>
        </w:rPr>
      </w:pPr>
      <w:r>
        <w:rPr>
          <w:rFonts w:hint="eastAsia" w:eastAsia="宋体"/>
          <w:b w:val="0"/>
          <w:bCs w:val="0"/>
          <w:lang w:val="en-US" w:eastAsia="zh-CN"/>
        </w:rPr>
        <w:t xml:space="preserve">c、淬火：采用淬火油进行淬火，淬火油长期使用后，会出现冷却性能降低的现象，其主要原因热处理油使用时会发生热分解或热聚合、淬火油与空气接触发生氧化和聚合、在冷却时零件带入一些杂质、氧化物、污染物。为保持热处理油有良好的冷却能力，设热处理油循环系统，热处理油经过滤处理去除杂质后，进行循环利用。公司需定期补充新油，热处理油温控制在65℃。 </w:t>
      </w:r>
    </w:p>
    <w:p>
      <w:pPr>
        <w:pStyle w:val="8"/>
        <w:numPr>
          <w:ilvl w:val="0"/>
          <w:numId w:val="0"/>
        </w:numPr>
        <w:bidi w:val="0"/>
        <w:ind w:firstLine="560" w:firstLineChars="200"/>
        <w:rPr>
          <w:rFonts w:hint="eastAsia" w:eastAsia="宋体"/>
          <w:b w:val="0"/>
          <w:bCs w:val="0"/>
          <w:lang w:val="en-US" w:eastAsia="zh-CN"/>
        </w:rPr>
      </w:pPr>
      <w:r>
        <w:rPr>
          <w:rFonts w:hint="eastAsia" w:eastAsia="宋体"/>
          <w:b w:val="0"/>
          <w:bCs w:val="0"/>
          <w:lang w:val="en-US" w:eastAsia="zh-CN"/>
        </w:rPr>
        <w:t xml:space="preserve">d、热水洗：紧固件经油淬火后，在进入回火炉前需用热水进行清洗。清洗热水经油水分离器进行分离，分离出油集中回收，热水进行重新循环使用。 </w:t>
      </w:r>
    </w:p>
    <w:p>
      <w:pPr>
        <w:pStyle w:val="8"/>
        <w:numPr>
          <w:ilvl w:val="0"/>
          <w:numId w:val="0"/>
        </w:numPr>
        <w:bidi w:val="0"/>
        <w:ind w:firstLine="560" w:firstLineChars="200"/>
        <w:rPr>
          <w:rFonts w:hint="eastAsia" w:eastAsia="宋体"/>
          <w:b w:val="0"/>
          <w:bCs w:val="0"/>
          <w:lang w:val="en-US" w:eastAsia="zh-CN"/>
        </w:rPr>
      </w:pPr>
      <w:r>
        <w:rPr>
          <w:rFonts w:hint="eastAsia" w:eastAsia="宋体"/>
          <w:b w:val="0"/>
          <w:bCs w:val="0"/>
          <w:lang w:val="en-US" w:eastAsia="zh-CN"/>
        </w:rPr>
        <w:t>e、回火：经热水清洗后紧固件放入回火炉中，通过电加热至300℃左右，保温50～60分钟，然后取出用风冷方式进行冷却，回火过程不加入其他物质。</w:t>
      </w:r>
    </w:p>
    <w:p>
      <w:pPr>
        <w:pStyle w:val="8"/>
        <w:numPr>
          <w:ilvl w:val="0"/>
          <w:numId w:val="0"/>
        </w:numPr>
        <w:bidi w:val="0"/>
        <w:ind w:firstLine="560" w:firstLineChars="200"/>
        <w:rPr>
          <w:rFonts w:hint="eastAsia" w:eastAsia="宋体"/>
          <w:b w:val="0"/>
          <w:bCs w:val="0"/>
          <w:lang w:val="en-US" w:eastAsia="zh-CN"/>
        </w:rPr>
      </w:pPr>
      <w:r>
        <w:rPr>
          <w:rFonts w:hint="eastAsia" w:eastAsia="宋体"/>
          <w:b w:val="0"/>
          <w:bCs w:val="0"/>
          <w:lang w:val="en-US" w:eastAsia="zh-CN"/>
        </w:rPr>
        <w:t>4）</w:t>
      </w:r>
      <w:r>
        <w:rPr>
          <w:rFonts w:hint="eastAsia" w:eastAsia="宋体"/>
          <w:b/>
          <w:bCs/>
          <w:lang w:val="en-US" w:eastAsia="zh-CN"/>
        </w:rPr>
        <w:t>电镀</w:t>
      </w:r>
      <w:r>
        <w:rPr>
          <w:rFonts w:hint="eastAsia" w:eastAsia="宋体"/>
          <w:b w:val="0"/>
          <w:bCs w:val="0"/>
          <w:lang w:val="en-US" w:eastAsia="zh-CN"/>
        </w:rPr>
        <w:t>：热处理后的紧固件毛坯件根据产品要求进行电镀处理，配套两条全自动滚镀镀锌线。</w:t>
      </w:r>
    </w:p>
    <w:p>
      <w:pPr>
        <w:pStyle w:val="8"/>
        <w:numPr>
          <w:ilvl w:val="0"/>
          <w:numId w:val="0"/>
        </w:numPr>
        <w:bidi w:val="0"/>
        <w:ind w:firstLine="560" w:firstLineChars="200"/>
        <w:rPr>
          <w:rFonts w:hint="eastAsia" w:eastAsia="宋体"/>
          <w:b w:val="0"/>
          <w:bCs w:val="0"/>
          <w:lang w:val="en-US" w:eastAsia="zh-CN"/>
        </w:rPr>
      </w:pPr>
      <w:r>
        <w:rPr>
          <w:rFonts w:hint="eastAsia" w:eastAsia="宋体"/>
          <w:b w:val="0"/>
          <w:bCs w:val="0"/>
          <w:lang w:val="en-US" w:eastAsia="zh-CN"/>
        </w:rPr>
        <w:t>5）</w:t>
      </w:r>
      <w:r>
        <w:rPr>
          <w:rFonts w:hint="eastAsia" w:eastAsia="宋体"/>
          <w:b/>
          <w:bCs/>
          <w:lang w:val="en-US" w:eastAsia="zh-CN"/>
        </w:rPr>
        <w:t>分检、包装</w:t>
      </w:r>
      <w:r>
        <w:rPr>
          <w:rFonts w:hint="eastAsia" w:eastAsia="宋体"/>
          <w:b w:val="0"/>
          <w:bCs w:val="0"/>
          <w:lang w:val="en-US" w:eastAsia="zh-CN"/>
        </w:rPr>
        <w:t>：紧固件产品加工完成后需进行分检，分检主要包括硬度、表面粗度等的检测，以确保出厂产品合格率。产品经分检合格后进行按规格包装出厂。</w:t>
      </w:r>
    </w:p>
    <w:p>
      <w:pPr>
        <w:pStyle w:val="8"/>
        <w:numPr>
          <w:ilvl w:val="0"/>
          <w:numId w:val="0"/>
        </w:numPr>
        <w:kinsoku w:val="0"/>
        <w:autoSpaceDE w:val="0"/>
        <w:autoSpaceDN w:val="0"/>
        <w:bidi w:val="0"/>
        <w:adjustRightInd w:val="0"/>
        <w:snapToGrid w:val="0"/>
        <w:spacing w:line="360" w:lineRule="auto"/>
        <w:jc w:val="both"/>
        <w:textAlignment w:val="baseline"/>
        <w:rPr>
          <w:rFonts w:hint="eastAsia" w:eastAsia="宋体"/>
          <w:b w:val="0"/>
          <w:bCs w:val="0"/>
          <w:lang w:val="en-US" w:eastAsia="zh-CN"/>
        </w:rPr>
      </w:pPr>
    </w:p>
    <w:p>
      <w:pPr>
        <w:pStyle w:val="8"/>
        <w:numPr>
          <w:ilvl w:val="0"/>
          <w:numId w:val="0"/>
        </w:numPr>
        <w:kinsoku w:val="0"/>
        <w:autoSpaceDE w:val="0"/>
        <w:autoSpaceDN w:val="0"/>
        <w:bidi w:val="0"/>
        <w:adjustRightInd w:val="0"/>
        <w:snapToGrid w:val="0"/>
        <w:spacing w:line="360" w:lineRule="auto"/>
        <w:jc w:val="both"/>
        <w:textAlignment w:val="baseline"/>
        <w:rPr>
          <w:rFonts w:hint="eastAsia" w:eastAsia="宋体"/>
          <w:b w:val="0"/>
          <w:bCs w:val="0"/>
          <w:lang w:val="en-US" w:eastAsia="zh-CN"/>
        </w:rPr>
      </w:pPr>
    </w:p>
    <w:p>
      <w:pPr>
        <w:pStyle w:val="8"/>
        <w:numPr>
          <w:ilvl w:val="0"/>
          <w:numId w:val="0"/>
        </w:numPr>
        <w:kinsoku w:val="0"/>
        <w:autoSpaceDE w:val="0"/>
        <w:autoSpaceDN w:val="0"/>
        <w:bidi w:val="0"/>
        <w:adjustRightInd w:val="0"/>
        <w:snapToGrid w:val="0"/>
        <w:spacing w:line="360" w:lineRule="auto"/>
        <w:jc w:val="both"/>
        <w:textAlignment w:val="baseline"/>
        <w:rPr>
          <w:rFonts w:hint="eastAsia" w:eastAsia="宋体"/>
          <w:b w:val="0"/>
          <w:bCs w:val="0"/>
          <w:lang w:val="en-US" w:eastAsia="zh-CN"/>
        </w:rPr>
      </w:pPr>
    </w:p>
    <w:p>
      <w:pPr>
        <w:pStyle w:val="8"/>
        <w:numPr>
          <w:ilvl w:val="0"/>
          <w:numId w:val="0"/>
        </w:numPr>
        <w:kinsoku w:val="0"/>
        <w:autoSpaceDE w:val="0"/>
        <w:autoSpaceDN w:val="0"/>
        <w:bidi w:val="0"/>
        <w:adjustRightInd w:val="0"/>
        <w:snapToGrid w:val="0"/>
        <w:spacing w:line="360" w:lineRule="auto"/>
        <w:jc w:val="both"/>
        <w:textAlignment w:val="baseline"/>
        <w:rPr>
          <w:rFonts w:hint="eastAsia" w:eastAsia="宋体"/>
          <w:b w:val="0"/>
          <w:bCs w:val="0"/>
          <w:lang w:val="en-US" w:eastAsia="zh-CN"/>
        </w:rPr>
      </w:pPr>
    </w:p>
    <w:p>
      <w:pPr>
        <w:pStyle w:val="8"/>
        <w:numPr>
          <w:ilvl w:val="0"/>
          <w:numId w:val="0"/>
        </w:numPr>
        <w:kinsoku w:val="0"/>
        <w:autoSpaceDE w:val="0"/>
        <w:autoSpaceDN w:val="0"/>
        <w:bidi w:val="0"/>
        <w:adjustRightInd w:val="0"/>
        <w:snapToGrid w:val="0"/>
        <w:spacing w:line="360" w:lineRule="auto"/>
        <w:jc w:val="both"/>
        <w:textAlignment w:val="baseline"/>
        <w:rPr>
          <w:rFonts w:hint="eastAsia" w:eastAsia="宋体"/>
          <w:b w:val="0"/>
          <w:bCs w:val="0"/>
          <w:lang w:val="en-US" w:eastAsia="zh-CN"/>
        </w:rPr>
      </w:pPr>
    </w:p>
    <w:p>
      <w:pPr>
        <w:pStyle w:val="4"/>
        <w:bidi w:val="0"/>
        <w:rPr>
          <w:highlight w:val="none"/>
        </w:rPr>
      </w:pPr>
      <w:bookmarkStart w:id="90" w:name="_Toc18448"/>
      <w:r>
        <w:rPr>
          <w:rFonts w:hint="eastAsia"/>
          <w:lang w:val="en-US" w:eastAsia="zh-CN"/>
        </w:rPr>
        <w:t>7</w:t>
      </w:r>
      <w:r>
        <w:t>、</w:t>
      </w:r>
      <w:r>
        <w:rPr>
          <w:rFonts w:hint="eastAsia"/>
          <w:highlight w:val="none"/>
          <w:lang w:eastAsia="zh-CN"/>
        </w:rPr>
        <w:t>2022</w:t>
      </w:r>
      <w:r>
        <w:rPr>
          <w:highlight w:val="none"/>
        </w:rPr>
        <w:t>年工厂能源消耗统计表</w:t>
      </w:r>
      <w:bookmarkEnd w:id="90"/>
    </w:p>
    <w:p>
      <w:pPr>
        <w:spacing w:line="148" w:lineRule="exact"/>
      </w:pPr>
    </w:p>
    <w:tbl>
      <w:tblPr>
        <w:tblStyle w:val="16"/>
        <w:tblW w:w="851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07"/>
        <w:gridCol w:w="1814"/>
        <w:gridCol w:w="1400"/>
        <w:gridCol w:w="2183"/>
        <w:gridCol w:w="211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07" w:type="dxa"/>
            <w:shd w:val="clear" w:color="auto" w:fill="auto"/>
            <w:vAlign w:val="center"/>
          </w:tcPr>
          <w:p>
            <w:pPr>
              <w:pStyle w:val="17"/>
              <w:bidi w:val="0"/>
              <w:rPr>
                <w:highlight w:val="none"/>
              </w:rPr>
            </w:pPr>
            <w:r>
              <w:rPr>
                <w:highlight w:val="none"/>
              </w:rPr>
              <w:t>年度</w:t>
            </w:r>
          </w:p>
        </w:tc>
        <w:tc>
          <w:tcPr>
            <w:tcW w:w="3214" w:type="dxa"/>
            <w:gridSpan w:val="2"/>
            <w:shd w:val="clear" w:color="auto" w:fill="auto"/>
            <w:vAlign w:val="center"/>
          </w:tcPr>
          <w:p>
            <w:pPr>
              <w:pStyle w:val="17"/>
              <w:bidi w:val="0"/>
              <w:rPr>
                <w:highlight w:val="none"/>
              </w:rPr>
            </w:pPr>
            <w:r>
              <w:rPr>
                <w:highlight w:val="none"/>
              </w:rPr>
              <w:t>能源种类及消耗量</w:t>
            </w:r>
          </w:p>
        </w:tc>
        <w:tc>
          <w:tcPr>
            <w:tcW w:w="2183" w:type="dxa"/>
            <w:vAlign w:val="center"/>
          </w:tcPr>
          <w:p>
            <w:pPr>
              <w:pStyle w:val="17"/>
              <w:bidi w:val="0"/>
              <w:rPr>
                <w:highlight w:val="yellow"/>
              </w:rPr>
            </w:pPr>
            <w:r>
              <w:rPr>
                <w:highlight w:val="none"/>
              </w:rPr>
              <w:t>综合能耗当量值 (tce)</w:t>
            </w:r>
          </w:p>
        </w:tc>
        <w:tc>
          <w:tcPr>
            <w:tcW w:w="2113" w:type="dxa"/>
            <w:vAlign w:val="center"/>
          </w:tcPr>
          <w:p>
            <w:pPr>
              <w:pStyle w:val="17"/>
              <w:bidi w:val="0"/>
              <w:rPr>
                <w:highlight w:val="yellow"/>
              </w:rPr>
            </w:pPr>
            <w:r>
              <w:rPr>
                <w:highlight w:val="none"/>
              </w:rPr>
              <w:t>综合能耗等价值 (tce)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07" w:type="dxa"/>
            <w:vAlign w:val="center"/>
          </w:tcPr>
          <w:p>
            <w:pPr>
              <w:pStyle w:val="17"/>
              <w:bidi w:val="0"/>
              <w:rPr>
                <w:highlight w:val="none"/>
              </w:rPr>
            </w:pPr>
            <w:r>
              <w:rPr>
                <w:rFonts w:hint="eastAsia"/>
                <w:highlight w:val="none"/>
                <w:lang w:eastAsia="zh-CN"/>
              </w:rPr>
              <w:t>2022</w:t>
            </w:r>
            <w:r>
              <w:rPr>
                <w:highlight w:val="none"/>
              </w:rPr>
              <w:t>年</w:t>
            </w:r>
          </w:p>
        </w:tc>
        <w:tc>
          <w:tcPr>
            <w:tcW w:w="1814" w:type="dxa"/>
            <w:vAlign w:val="center"/>
          </w:tcPr>
          <w:p>
            <w:pPr>
              <w:pStyle w:val="17"/>
              <w:bidi w:val="0"/>
              <w:rPr>
                <w:rFonts w:hint="eastAsia" w:eastAsia="宋体"/>
                <w:highlight w:val="none"/>
                <w:lang w:eastAsia="zh-CN"/>
              </w:rPr>
            </w:pPr>
            <w:r>
              <w:rPr>
                <w:highlight w:val="none"/>
              </w:rPr>
              <w:t>电力 (万kwh)</w:t>
            </w:r>
            <w:r>
              <w:rPr>
                <w:rFonts w:hint="eastAsia"/>
                <w:highlight w:val="none"/>
                <w:lang w:eastAsia="zh-CN"/>
              </w:rPr>
              <w:t>包含太阳能</w:t>
            </w:r>
          </w:p>
        </w:tc>
        <w:tc>
          <w:tcPr>
            <w:tcW w:w="1400" w:type="dxa"/>
            <w:vAlign w:val="center"/>
          </w:tcPr>
          <w:p>
            <w:pPr>
              <w:pStyle w:val="17"/>
              <w:bidi w:val="0"/>
              <w:rPr>
                <w:rFonts w:hint="default"/>
                <w:highlight w:val="yellow"/>
                <w:lang w:val="en-US" w:eastAsia="zh-CN"/>
              </w:rPr>
            </w:pPr>
            <w:r>
              <w:rPr>
                <w:rFonts w:hint="eastAsia"/>
                <w:highlight w:val="none"/>
                <w:lang w:val="en-US" w:eastAsia="zh-CN"/>
              </w:rPr>
              <w:t>1033.48</w:t>
            </w:r>
          </w:p>
        </w:tc>
        <w:tc>
          <w:tcPr>
            <w:tcW w:w="2183" w:type="dxa"/>
            <w:vAlign w:val="center"/>
          </w:tcPr>
          <w:p>
            <w:pPr>
              <w:pStyle w:val="17"/>
              <w:bidi w:val="0"/>
              <w:rPr>
                <w:rFonts w:hint="default" w:eastAsia="宋体"/>
                <w:highlight w:val="yellow"/>
                <w:lang w:val="en-US" w:eastAsia="zh-CN"/>
              </w:rPr>
            </w:pPr>
            <w:r>
              <w:rPr>
                <w:rFonts w:hint="eastAsia"/>
                <w:highlight w:val="none"/>
                <w:lang w:val="en-US" w:eastAsia="zh-CN"/>
              </w:rPr>
              <w:t>989.347</w:t>
            </w:r>
          </w:p>
        </w:tc>
        <w:tc>
          <w:tcPr>
            <w:tcW w:w="2113" w:type="dxa"/>
            <w:vAlign w:val="center"/>
          </w:tcPr>
          <w:p>
            <w:pPr>
              <w:pStyle w:val="17"/>
              <w:bidi w:val="0"/>
              <w:rPr>
                <w:rFonts w:hint="default" w:eastAsia="宋体"/>
                <w:highlight w:val="yellow"/>
                <w:lang w:val="en-US" w:eastAsia="zh-CN"/>
              </w:rPr>
            </w:pPr>
            <w:r>
              <w:rPr>
                <w:rFonts w:hint="eastAsia"/>
                <w:highlight w:val="none"/>
                <w:lang w:val="en-US" w:eastAsia="zh-CN"/>
              </w:rPr>
              <w:t>3252.201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07" w:type="dxa"/>
            <w:vAlign w:val="center"/>
          </w:tcPr>
          <w:p>
            <w:pPr>
              <w:pStyle w:val="17"/>
              <w:bidi w:val="0"/>
              <w:rPr>
                <w:highlight w:val="none"/>
              </w:rPr>
            </w:pPr>
            <w:r>
              <w:rPr>
                <w:rFonts w:hint="eastAsia"/>
                <w:highlight w:val="none"/>
                <w:lang w:eastAsia="zh-CN"/>
              </w:rPr>
              <w:t>2022</w:t>
            </w:r>
            <w:r>
              <w:rPr>
                <w:highlight w:val="none"/>
              </w:rPr>
              <w:t>年</w:t>
            </w:r>
          </w:p>
        </w:tc>
        <w:tc>
          <w:tcPr>
            <w:tcW w:w="1814" w:type="dxa"/>
            <w:vAlign w:val="center"/>
          </w:tcPr>
          <w:p>
            <w:pPr>
              <w:pStyle w:val="17"/>
              <w:bidi w:val="0"/>
              <w:rPr>
                <w:rFonts w:hint="eastAsia" w:eastAsia="宋体"/>
                <w:highlight w:val="none"/>
                <w:lang w:val="en-US" w:eastAsia="zh-CN"/>
              </w:rPr>
            </w:pPr>
            <w:r>
              <w:rPr>
                <w:rFonts w:hint="eastAsia"/>
                <w:highlight w:val="none"/>
                <w:lang w:val="en-US" w:eastAsia="zh-CN"/>
              </w:rPr>
              <w:t>天然气（万m³）</w:t>
            </w:r>
          </w:p>
        </w:tc>
        <w:tc>
          <w:tcPr>
            <w:tcW w:w="1400" w:type="dxa"/>
            <w:vAlign w:val="center"/>
          </w:tcPr>
          <w:p>
            <w:pPr>
              <w:pStyle w:val="17"/>
              <w:bidi w:val="0"/>
              <w:rPr>
                <w:rFonts w:hint="default"/>
                <w:highlight w:val="none"/>
                <w:lang w:val="en-US" w:eastAsia="zh-CN"/>
              </w:rPr>
            </w:pPr>
            <w:r>
              <w:rPr>
                <w:rFonts w:hint="eastAsia"/>
                <w:highlight w:val="none"/>
                <w:lang w:val="en-US" w:eastAsia="zh-CN"/>
              </w:rPr>
              <w:t>1.2</w:t>
            </w:r>
          </w:p>
        </w:tc>
        <w:tc>
          <w:tcPr>
            <w:tcW w:w="2183" w:type="dxa"/>
            <w:vAlign w:val="center"/>
          </w:tcPr>
          <w:p>
            <w:pPr>
              <w:pStyle w:val="17"/>
              <w:bidi w:val="0"/>
              <w:rPr>
                <w:rFonts w:hint="default"/>
                <w:highlight w:val="none"/>
                <w:lang w:val="en-US" w:eastAsia="zh-CN"/>
              </w:rPr>
            </w:pPr>
            <w:r>
              <w:rPr>
                <w:rFonts w:hint="eastAsia"/>
                <w:highlight w:val="none"/>
                <w:lang w:val="en-US" w:eastAsia="zh-CN"/>
              </w:rPr>
              <w:t>14.57</w:t>
            </w:r>
          </w:p>
        </w:tc>
        <w:tc>
          <w:tcPr>
            <w:tcW w:w="2113" w:type="dxa"/>
            <w:vAlign w:val="center"/>
          </w:tcPr>
          <w:p>
            <w:pPr>
              <w:pStyle w:val="17"/>
              <w:bidi w:val="0"/>
              <w:rPr>
                <w:rFonts w:hint="eastAsia"/>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07" w:type="dxa"/>
            <w:vAlign w:val="center"/>
          </w:tcPr>
          <w:p>
            <w:pPr>
              <w:pStyle w:val="17"/>
              <w:bidi w:val="0"/>
              <w:rPr>
                <w:highlight w:val="none"/>
              </w:rPr>
            </w:pPr>
            <w:r>
              <w:rPr>
                <w:rFonts w:hint="eastAsia"/>
                <w:highlight w:val="none"/>
                <w:lang w:eastAsia="zh-CN"/>
              </w:rPr>
              <w:t>2022</w:t>
            </w:r>
            <w:r>
              <w:rPr>
                <w:highlight w:val="none"/>
              </w:rPr>
              <w:t>年</w:t>
            </w:r>
          </w:p>
        </w:tc>
        <w:tc>
          <w:tcPr>
            <w:tcW w:w="1814" w:type="dxa"/>
            <w:vAlign w:val="center"/>
          </w:tcPr>
          <w:p>
            <w:pPr>
              <w:pStyle w:val="17"/>
              <w:bidi w:val="0"/>
              <w:rPr>
                <w:rFonts w:hint="eastAsia"/>
                <w:highlight w:val="none"/>
                <w:lang w:val="en-US" w:eastAsia="zh-CN"/>
              </w:rPr>
            </w:pPr>
            <w:r>
              <w:rPr>
                <w:rFonts w:hint="eastAsia"/>
                <w:highlight w:val="none"/>
                <w:lang w:val="en-US" w:eastAsia="zh-CN"/>
              </w:rPr>
              <w:t>汽油（t）</w:t>
            </w:r>
          </w:p>
        </w:tc>
        <w:tc>
          <w:tcPr>
            <w:tcW w:w="1400" w:type="dxa"/>
            <w:vAlign w:val="center"/>
          </w:tcPr>
          <w:p>
            <w:pPr>
              <w:pStyle w:val="17"/>
              <w:bidi w:val="0"/>
              <w:rPr>
                <w:rFonts w:hint="default"/>
                <w:highlight w:val="none"/>
                <w:lang w:val="en-US" w:eastAsia="zh-CN"/>
              </w:rPr>
            </w:pPr>
            <w:r>
              <w:rPr>
                <w:rFonts w:hint="eastAsia"/>
                <w:highlight w:val="none"/>
                <w:lang w:val="en-US" w:eastAsia="zh-CN"/>
              </w:rPr>
              <w:t>13.47</w:t>
            </w:r>
          </w:p>
        </w:tc>
        <w:tc>
          <w:tcPr>
            <w:tcW w:w="2183" w:type="dxa"/>
            <w:vAlign w:val="center"/>
          </w:tcPr>
          <w:p>
            <w:pPr>
              <w:pStyle w:val="17"/>
              <w:bidi w:val="0"/>
              <w:rPr>
                <w:rFonts w:hint="default"/>
                <w:highlight w:val="none"/>
                <w:lang w:val="en-US" w:eastAsia="zh-CN"/>
              </w:rPr>
            </w:pPr>
            <w:r>
              <w:rPr>
                <w:rFonts w:hint="eastAsia"/>
                <w:highlight w:val="none"/>
                <w:lang w:val="en-US" w:eastAsia="zh-CN"/>
              </w:rPr>
              <w:t>19.82</w:t>
            </w:r>
          </w:p>
        </w:tc>
        <w:tc>
          <w:tcPr>
            <w:tcW w:w="2113" w:type="dxa"/>
            <w:vAlign w:val="center"/>
          </w:tcPr>
          <w:p>
            <w:pPr>
              <w:pStyle w:val="17"/>
              <w:bidi w:val="0"/>
              <w:rPr>
                <w:rFonts w:hint="eastAsia"/>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07" w:type="dxa"/>
            <w:vAlign w:val="center"/>
          </w:tcPr>
          <w:p>
            <w:pPr>
              <w:pStyle w:val="17"/>
              <w:bidi w:val="0"/>
              <w:rPr>
                <w:rFonts w:hint="default" w:eastAsia="宋体"/>
                <w:highlight w:val="none"/>
                <w:lang w:val="en-US" w:eastAsia="zh-CN"/>
              </w:rPr>
            </w:pPr>
            <w:r>
              <w:rPr>
                <w:rFonts w:hint="eastAsia"/>
                <w:highlight w:val="none"/>
                <w:lang w:val="en-US" w:eastAsia="zh-CN"/>
              </w:rPr>
              <w:t>2022年</w:t>
            </w:r>
          </w:p>
        </w:tc>
        <w:tc>
          <w:tcPr>
            <w:tcW w:w="1814" w:type="dxa"/>
            <w:vAlign w:val="center"/>
          </w:tcPr>
          <w:p>
            <w:pPr>
              <w:pStyle w:val="17"/>
              <w:bidi w:val="0"/>
              <w:rPr>
                <w:rFonts w:hint="eastAsia"/>
                <w:highlight w:val="none"/>
                <w:lang w:val="en-US" w:eastAsia="zh-CN"/>
              </w:rPr>
            </w:pPr>
            <w:r>
              <w:rPr>
                <w:rFonts w:hint="eastAsia"/>
                <w:highlight w:val="none"/>
                <w:lang w:val="en-US" w:eastAsia="zh-CN"/>
              </w:rPr>
              <w:t>柴油（t）</w:t>
            </w:r>
          </w:p>
        </w:tc>
        <w:tc>
          <w:tcPr>
            <w:tcW w:w="1400" w:type="dxa"/>
            <w:vAlign w:val="center"/>
          </w:tcPr>
          <w:p>
            <w:pPr>
              <w:pStyle w:val="17"/>
              <w:bidi w:val="0"/>
              <w:rPr>
                <w:rFonts w:hint="default"/>
                <w:highlight w:val="none"/>
                <w:lang w:val="en-US" w:eastAsia="zh-CN"/>
              </w:rPr>
            </w:pPr>
            <w:r>
              <w:rPr>
                <w:rFonts w:hint="eastAsia"/>
                <w:highlight w:val="none"/>
                <w:lang w:val="en-US" w:eastAsia="zh-CN"/>
              </w:rPr>
              <w:t>11.73</w:t>
            </w:r>
          </w:p>
        </w:tc>
        <w:tc>
          <w:tcPr>
            <w:tcW w:w="2183" w:type="dxa"/>
            <w:vAlign w:val="center"/>
          </w:tcPr>
          <w:p>
            <w:pPr>
              <w:pStyle w:val="17"/>
              <w:bidi w:val="0"/>
              <w:rPr>
                <w:rFonts w:hint="default"/>
                <w:highlight w:val="none"/>
                <w:lang w:val="en-US" w:eastAsia="zh-CN"/>
              </w:rPr>
            </w:pPr>
            <w:r>
              <w:rPr>
                <w:rFonts w:hint="eastAsia"/>
                <w:highlight w:val="none"/>
                <w:lang w:val="en-US" w:eastAsia="zh-CN"/>
              </w:rPr>
              <w:t>17.09</w:t>
            </w:r>
          </w:p>
        </w:tc>
        <w:tc>
          <w:tcPr>
            <w:tcW w:w="2113" w:type="dxa"/>
            <w:vAlign w:val="center"/>
          </w:tcPr>
          <w:p>
            <w:pPr>
              <w:pStyle w:val="17"/>
              <w:bidi w:val="0"/>
              <w:rPr>
                <w:rFonts w:hint="eastAsia"/>
                <w:highlight w:val="none"/>
                <w:lang w:val="en-US" w:eastAsia="zh-CN"/>
              </w:rPr>
            </w:pPr>
          </w:p>
        </w:tc>
      </w:tr>
    </w:tbl>
    <w:p>
      <w:pPr>
        <w:rPr>
          <w:rFonts w:hint="eastAsia" w:eastAsia="宋体"/>
          <w:lang w:val="en-US" w:eastAsia="zh-CN"/>
        </w:rPr>
        <w:sectPr>
          <w:headerReference r:id="rId24" w:type="default"/>
          <w:footerReference r:id="rId25" w:type="default"/>
          <w:pgSz w:w="11906" w:h="16840"/>
          <w:pgMar w:top="1440" w:right="1080" w:bottom="1440" w:left="1080" w:header="901" w:footer="852" w:gutter="0"/>
          <w:pgNumType w:fmt="decimal"/>
          <w:cols w:space="720" w:num="1"/>
        </w:sectPr>
      </w:pPr>
    </w:p>
    <w:p>
      <w:pPr>
        <w:pStyle w:val="4"/>
        <w:bidi w:val="0"/>
      </w:pPr>
      <w:bookmarkStart w:id="91" w:name="_bookmark46"/>
      <w:bookmarkEnd w:id="91"/>
      <w:bookmarkStart w:id="92" w:name="_bookmark47"/>
      <w:bookmarkEnd w:id="92"/>
      <w:bookmarkStart w:id="93" w:name="_Toc20995"/>
      <w:r>
        <w:rPr>
          <w:rFonts w:hint="eastAsia"/>
          <w:lang w:val="en-US" w:eastAsia="zh-CN"/>
        </w:rPr>
        <w:t>8</w:t>
      </w:r>
      <w:r>
        <w:t>、企业介绍</w:t>
      </w:r>
      <w:bookmarkEnd w:id="93"/>
    </w:p>
    <w:p>
      <w:pPr>
        <w:pStyle w:val="8"/>
        <w:bidi w:val="0"/>
        <w:rPr>
          <w:rFonts w:hint="eastAsia"/>
          <w:lang w:eastAsia="zh-CN"/>
        </w:rPr>
      </w:pPr>
      <w:bookmarkStart w:id="94" w:name="_bookmark48"/>
      <w:bookmarkEnd w:id="94"/>
      <w:bookmarkStart w:id="95" w:name="_Toc22978"/>
      <w:r>
        <w:rPr>
          <w:rFonts w:hint="eastAsia"/>
          <w:lang w:eastAsia="zh-CN"/>
        </w:rPr>
        <w:t>浙江群展精密紧固件有限企业成立于2011年，目前占地面积80亩，厂址位于嘉善罢干窑工业城，地处江、浙、沪核心区域，接近各级配套客户，交通十分便利。企业目标设定高端紧固件、精密部件的研发、制造和销售。特别针对汽车业、工程机械、高强度非标螺栓的专业生产。企业陆续投注三十多套全新进口设备，现有多款产品供货给福耀集团、大陆汽车、岩田、马勒、舍弗勒等多家业内知名企业，目前企业正致力于新能源汽车紧固件的研究开发，进一步拓宽市场业务</w:t>
      </w:r>
      <w:r>
        <w:rPr>
          <w:rFonts w:hint="eastAsia"/>
          <w:highlight w:val="none"/>
          <w:lang w:eastAsia="zh-CN"/>
        </w:rPr>
        <w:t>。</w:t>
      </w:r>
    </w:p>
    <w:p>
      <w:pPr>
        <w:pStyle w:val="8"/>
        <w:bidi w:val="0"/>
        <w:rPr>
          <w:rFonts w:hint="eastAsia"/>
          <w:color w:val="auto"/>
          <w:lang w:eastAsia="zh-CN"/>
        </w:rPr>
      </w:pPr>
      <w:r>
        <w:rPr>
          <w:rFonts w:hint="eastAsia"/>
          <w:color w:val="auto"/>
          <w:lang w:eastAsia="zh-CN"/>
        </w:rPr>
        <w:t>企业</w:t>
      </w:r>
      <w:r>
        <w:rPr>
          <w:rFonts w:hint="eastAsia"/>
          <w:color w:val="auto"/>
        </w:rPr>
        <w:t>陆续投注三十多套全新进口设备，现有多款产品供货给福耀集团、大陆汽车、岩田、马勒、舍弗勒等多家业内知名企业，目前</w:t>
      </w:r>
      <w:r>
        <w:rPr>
          <w:rFonts w:hint="eastAsia"/>
          <w:color w:val="auto"/>
          <w:lang w:eastAsia="zh-CN"/>
        </w:rPr>
        <w:t>企业</w:t>
      </w:r>
      <w:r>
        <w:rPr>
          <w:rFonts w:hint="eastAsia"/>
          <w:color w:val="auto"/>
        </w:rPr>
        <w:t>正致力于新能源汽车紧固件的研究开发，进一步拓宽市场</w:t>
      </w:r>
      <w:r>
        <w:rPr>
          <w:rFonts w:hint="eastAsia"/>
          <w:color w:val="auto"/>
          <w:lang w:eastAsia="zh-CN"/>
        </w:rPr>
        <w:t>。</w:t>
      </w:r>
    </w:p>
    <w:p>
      <w:pPr>
        <w:pStyle w:val="8"/>
        <w:bidi w:val="0"/>
        <w:rPr>
          <w:rFonts w:hint="eastAsia"/>
          <w:color w:val="auto"/>
          <w:lang w:val="en-US" w:eastAsia="zh-CN"/>
        </w:rPr>
      </w:pPr>
      <w:r>
        <w:rPr>
          <w:rFonts w:hint="eastAsia"/>
          <w:color w:val="auto"/>
          <w:highlight w:val="none"/>
          <w:lang w:val="en-US" w:eastAsia="zh-CN"/>
        </w:rPr>
        <w:t>目前，群展产品设备</w:t>
      </w:r>
      <w:r>
        <w:rPr>
          <w:rFonts w:hint="eastAsia"/>
          <w:color w:val="auto"/>
          <w:highlight w:val="none"/>
        </w:rPr>
        <w:t>生产能力</w:t>
      </w:r>
      <w:r>
        <w:rPr>
          <w:rFonts w:hint="eastAsia"/>
          <w:color w:val="auto"/>
          <w:highlight w:val="none"/>
          <w:lang w:val="en-US" w:eastAsia="zh-CN"/>
        </w:rPr>
        <w:t>已</w:t>
      </w:r>
      <w:r>
        <w:rPr>
          <w:rFonts w:hint="eastAsia"/>
          <w:color w:val="auto"/>
          <w:highlight w:val="none"/>
        </w:rPr>
        <w:t>达到</w:t>
      </w:r>
      <w:r>
        <w:rPr>
          <w:rFonts w:hint="eastAsia"/>
          <w:color w:val="auto"/>
          <w:highlight w:val="none"/>
          <w:lang w:val="en-US" w:eastAsia="zh-CN"/>
        </w:rPr>
        <w:t>6180</w:t>
      </w:r>
      <w:r>
        <w:rPr>
          <w:rFonts w:hint="eastAsia"/>
          <w:color w:val="auto"/>
          <w:highlight w:val="none"/>
        </w:rPr>
        <w:t>吨，</w:t>
      </w:r>
      <w:r>
        <w:rPr>
          <w:rFonts w:hint="eastAsia"/>
          <w:color w:val="auto"/>
          <w:highlight w:val="none"/>
          <w:lang w:eastAsia="zh-CN"/>
        </w:rPr>
        <w:t>企业</w:t>
      </w:r>
      <w:r>
        <w:rPr>
          <w:rFonts w:hint="eastAsia"/>
          <w:color w:val="auto"/>
          <w:highlight w:val="none"/>
          <w:lang w:val="en-US" w:eastAsia="zh-CN"/>
        </w:rPr>
        <w:t>获专利共46项；</w:t>
      </w:r>
      <w:r>
        <w:rPr>
          <w:rFonts w:hint="eastAsia"/>
          <w:color w:val="auto"/>
          <w:lang w:eastAsia="zh-CN"/>
        </w:rPr>
        <w:t>其中企业于</w:t>
      </w:r>
      <w:r>
        <w:rPr>
          <w:rFonts w:hint="eastAsia"/>
          <w:color w:val="auto"/>
          <w:lang w:val="en-US" w:eastAsia="zh-CN"/>
        </w:rPr>
        <w:t>2022年1月由</w:t>
      </w:r>
      <w:r>
        <w:rPr>
          <w:rFonts w:hint="eastAsia"/>
          <w:color w:val="auto"/>
          <w:lang w:eastAsia="zh-CN"/>
        </w:rPr>
        <w:t>全国高新技术企业认定管理工作领导小组办公室授予高新技术企业。</w:t>
      </w:r>
      <w:r>
        <w:rPr>
          <w:rFonts w:hint="eastAsia"/>
          <w:color w:val="auto"/>
          <w:lang w:val="en-US" w:eastAsia="zh-CN"/>
        </w:rPr>
        <w:t>2021年12月由浙江省科学技术厅授予</w:t>
      </w:r>
      <w:r>
        <w:rPr>
          <w:rFonts w:hint="eastAsia"/>
          <w:color w:val="auto"/>
          <w:lang w:eastAsia="zh-CN"/>
        </w:rPr>
        <w:t>省高新技术企业研究开发中心；企业</w:t>
      </w:r>
      <w:r>
        <w:rPr>
          <w:rFonts w:hint="eastAsia"/>
          <w:color w:val="auto"/>
        </w:rPr>
        <w:t>拥有著名商标</w:t>
      </w:r>
      <w:r>
        <w:rPr>
          <w:rFonts w:hint="eastAsia"/>
          <w:color w:val="auto"/>
          <w:lang w:eastAsia="zh-CN"/>
        </w:rPr>
        <w:t>——</w:t>
      </w:r>
      <w:r>
        <w:rPr>
          <w:rFonts w:hint="eastAsia"/>
          <w:color w:val="auto"/>
          <w:lang w:val="en-US" w:eastAsia="zh-CN"/>
        </w:rPr>
        <w:t>CWN。</w:t>
      </w:r>
    </w:p>
    <w:p>
      <w:pPr>
        <w:pStyle w:val="8"/>
        <w:bidi w:val="0"/>
        <w:rPr>
          <w:rFonts w:hint="eastAsia"/>
          <w:color w:val="auto"/>
          <w:lang w:val="en-US" w:eastAsia="zh-CN"/>
        </w:rPr>
      </w:pPr>
      <w:r>
        <w:rPr>
          <w:rFonts w:hint="eastAsia"/>
          <w:color w:val="auto"/>
          <w:lang w:val="en-US" w:eastAsia="zh-CN"/>
        </w:rPr>
        <w:t>在企业发展上，群展努力践行“高端紧固件、专业制造厂”的经营方针，先后通过IATF-16949:201、ISO-14001:2015。</w:t>
      </w:r>
    </w:p>
    <w:p>
      <w:pPr>
        <w:pStyle w:val="8"/>
        <w:bidi w:val="0"/>
        <w:rPr>
          <w:rFonts w:hint="eastAsia"/>
          <w:color w:val="auto"/>
          <w:lang w:val="en-US" w:eastAsia="zh-CN"/>
        </w:rPr>
      </w:pPr>
      <w:r>
        <w:rPr>
          <w:rFonts w:hint="eastAsia"/>
          <w:color w:val="auto"/>
          <w:lang w:val="en-US" w:eastAsia="zh-CN"/>
        </w:rPr>
        <w:t>浙江群展精密紧固件股份有限企业现设置有业务部、管理部、生技部、品保部、制造一部、技术部、制造二部、总经理室、财务室、稽核室和资讯室等。各部门密切配合，权责分明，职责到人，保障企业能高效率，高质量运行。</w:t>
      </w:r>
    </w:p>
    <w:p>
      <w:pPr>
        <w:pStyle w:val="8"/>
        <w:bidi w:val="0"/>
        <w:rPr>
          <w:rFonts w:hint="eastAsia"/>
          <w:color w:val="auto"/>
          <w:lang w:val="en-US" w:eastAsia="zh-CN"/>
        </w:rPr>
      </w:pPr>
      <w:r>
        <w:rPr>
          <w:rFonts w:hint="eastAsia"/>
          <w:color w:val="auto"/>
          <w:lang w:val="en-US" w:eastAsia="zh-CN"/>
        </w:rPr>
        <w:t>品质、交期、技术、成本、服务等方面，群展是精密世界一流“高端紧固件 专业制造厂”。企业成为中国第一家获得“国家品质奖”的零部件企业。企业致力打造“公园化工厂”的亲善环境、扩大绿化、植栽，并以音乐基本要素思考工厂布置, 打破生产工厂“脏污零乱”的刻板印象，打造“低碳绿能”的绿色企业。</w:t>
      </w:r>
    </w:p>
    <w:p>
      <w:pPr>
        <w:pStyle w:val="4"/>
        <w:bidi w:val="0"/>
      </w:pPr>
      <w:r>
        <w:rPr>
          <w:rFonts w:hint="eastAsia"/>
          <w:lang w:val="en-US" w:eastAsia="zh-CN"/>
        </w:rPr>
        <w:t>9</w:t>
      </w:r>
      <w:r>
        <w:t>、工业产销总值及主要产品产量</w:t>
      </w:r>
      <w:bookmarkEnd w:id="95"/>
    </w:p>
    <w:tbl>
      <w:tblPr>
        <w:tblStyle w:val="13"/>
        <w:tblW w:w="4874" w:type="pct"/>
        <w:jc w:val="center"/>
        <w:tblBorders>
          <w:top w:val="single" w:color="auto" w:sz="18" w:space="0"/>
          <w:left w:val="single" w:color="auto" w:sz="18" w:space="0"/>
          <w:bottom w:val="single" w:color="auto" w:sz="18" w:space="0"/>
          <w:right w:val="single" w:color="auto" w:sz="18" w:space="0"/>
          <w:insideH w:val="none" w:color="auto" w:sz="4" w:space="0"/>
          <w:insideV w:val="none" w:color="auto" w:sz="4" w:space="0"/>
        </w:tblBorders>
        <w:tblLayout w:type="autofit"/>
        <w:tblCellMar>
          <w:top w:w="0" w:type="dxa"/>
          <w:left w:w="0" w:type="dxa"/>
          <w:bottom w:w="0" w:type="dxa"/>
          <w:right w:w="0" w:type="dxa"/>
        </w:tblCellMar>
      </w:tblPr>
      <w:tblGrid>
        <w:gridCol w:w="2852"/>
        <w:gridCol w:w="2231"/>
        <w:gridCol w:w="2231"/>
        <w:gridCol w:w="2231"/>
      </w:tblGrid>
      <w:tr>
        <w:tblPrEx>
          <w:tblBorders>
            <w:top w:val="single" w:color="auto" w:sz="18" w:space="0"/>
            <w:left w:val="single" w:color="auto" w:sz="18" w:space="0"/>
            <w:bottom w:val="single" w:color="auto" w:sz="18" w:space="0"/>
            <w:right w:val="single" w:color="auto" w:sz="18" w:space="0"/>
            <w:insideH w:val="none" w:color="auto" w:sz="4" w:space="0"/>
            <w:insideV w:val="none" w:color="auto" w:sz="4" w:space="0"/>
          </w:tblBorders>
          <w:tblCellMar>
            <w:top w:w="0" w:type="dxa"/>
            <w:left w:w="0" w:type="dxa"/>
            <w:bottom w:w="0" w:type="dxa"/>
            <w:right w:w="0" w:type="dxa"/>
          </w:tblCellMar>
        </w:tblPrEx>
        <w:trPr>
          <w:trHeight w:val="454" w:hRule="atLeast"/>
          <w:jc w:val="center"/>
        </w:trPr>
        <w:tc>
          <w:tcPr>
            <w:tcW w:w="1494" w:type="pct"/>
            <w:tcBorders>
              <w:bottom w:val="single" w:color="000000" w:sz="4" w:space="0"/>
              <w:right w:val="single" w:color="000000" w:sz="4" w:space="0"/>
            </w:tcBorders>
            <w:shd w:val="clear" w:color="auto" w:fill="BEBEBE" w:themeFill="background1" w:themeFillShade="BF"/>
            <w:noWrap w:val="0"/>
            <w:tcMar>
              <w:top w:w="12" w:type="dxa"/>
              <w:left w:w="12" w:type="dxa"/>
              <w:right w:w="12" w:type="dxa"/>
            </w:tcMar>
            <w:vAlign w:val="center"/>
          </w:tcPr>
          <w:p>
            <w:pPr>
              <w:pStyle w:val="17"/>
              <w:bidi w:val="0"/>
              <w:rPr>
                <w:b/>
                <w:bCs/>
              </w:rPr>
            </w:pPr>
            <w:r>
              <w:rPr>
                <w:b/>
                <w:bCs/>
              </w:rPr>
              <w:t>指    标</w:t>
            </w:r>
          </w:p>
        </w:tc>
        <w:tc>
          <w:tcPr>
            <w:tcW w:w="1168" w:type="pct"/>
            <w:tcBorders>
              <w:left w:val="single" w:color="000000" w:sz="4" w:space="0"/>
              <w:bottom w:val="single" w:color="000000" w:sz="4" w:space="0"/>
              <w:right w:val="single" w:color="000000" w:sz="4" w:space="0"/>
            </w:tcBorders>
            <w:shd w:val="clear" w:color="auto" w:fill="BEBEBE" w:themeFill="background1" w:themeFillShade="BF"/>
            <w:noWrap/>
            <w:tcMar>
              <w:top w:w="12" w:type="dxa"/>
              <w:left w:w="12" w:type="dxa"/>
              <w:right w:w="12" w:type="dxa"/>
            </w:tcMar>
            <w:vAlign w:val="center"/>
          </w:tcPr>
          <w:p>
            <w:pPr>
              <w:pStyle w:val="17"/>
              <w:bidi w:val="0"/>
              <w:rPr>
                <w:rFonts w:hint="eastAsia"/>
                <w:b/>
                <w:bCs/>
              </w:rPr>
            </w:pPr>
            <w:r>
              <w:rPr>
                <w:rFonts w:hint="eastAsia"/>
                <w:b/>
                <w:bCs/>
                <w:lang w:val="en-US" w:eastAsia="zh-CN"/>
              </w:rPr>
              <w:t>2020年</w:t>
            </w:r>
          </w:p>
        </w:tc>
        <w:tc>
          <w:tcPr>
            <w:tcW w:w="1168" w:type="pct"/>
            <w:tcBorders>
              <w:left w:val="single" w:color="000000" w:sz="4" w:space="0"/>
              <w:bottom w:val="single" w:color="000000" w:sz="4" w:space="0"/>
            </w:tcBorders>
            <w:shd w:val="clear" w:color="auto" w:fill="BEBEBE" w:themeFill="background1" w:themeFillShade="BF"/>
            <w:noWrap/>
            <w:tcMar>
              <w:top w:w="12" w:type="dxa"/>
              <w:left w:w="12" w:type="dxa"/>
              <w:right w:w="12" w:type="dxa"/>
            </w:tcMar>
            <w:vAlign w:val="center"/>
          </w:tcPr>
          <w:p>
            <w:pPr>
              <w:pStyle w:val="17"/>
              <w:bidi w:val="0"/>
              <w:rPr>
                <w:rFonts w:hint="default"/>
                <w:b/>
                <w:bCs/>
                <w:lang w:val="en-US" w:eastAsia="zh-CN"/>
              </w:rPr>
            </w:pPr>
            <w:r>
              <w:rPr>
                <w:rFonts w:hint="eastAsia"/>
                <w:b/>
                <w:bCs/>
                <w:lang w:val="en-US" w:eastAsia="zh-CN"/>
              </w:rPr>
              <w:t>2021</w:t>
            </w:r>
            <w:r>
              <w:rPr>
                <w:b/>
                <w:bCs/>
                <w:lang w:val="en-US" w:eastAsia="zh-CN"/>
              </w:rPr>
              <w:t>年</w:t>
            </w:r>
          </w:p>
        </w:tc>
        <w:tc>
          <w:tcPr>
            <w:tcW w:w="1168" w:type="pct"/>
            <w:tcBorders>
              <w:left w:val="single" w:color="000000" w:sz="4" w:space="0"/>
              <w:bottom w:val="single" w:color="000000" w:sz="4" w:space="0"/>
            </w:tcBorders>
            <w:shd w:val="clear" w:color="auto" w:fill="BEBEBE" w:themeFill="background1" w:themeFillShade="BF"/>
            <w:noWrap/>
            <w:tcMar>
              <w:top w:w="12" w:type="dxa"/>
              <w:left w:w="12" w:type="dxa"/>
              <w:right w:w="12" w:type="dxa"/>
            </w:tcMar>
            <w:vAlign w:val="center"/>
          </w:tcPr>
          <w:p>
            <w:pPr>
              <w:pStyle w:val="17"/>
              <w:bidi w:val="0"/>
              <w:rPr>
                <w:rFonts w:hint="default"/>
                <w:b/>
                <w:bCs/>
                <w:lang w:val="en-US" w:eastAsia="zh-CN"/>
              </w:rPr>
            </w:pPr>
            <w:r>
              <w:rPr>
                <w:rFonts w:hint="eastAsia"/>
                <w:b/>
                <w:bCs/>
                <w:lang w:val="en-US" w:eastAsia="zh-CN"/>
              </w:rPr>
              <w:t>2022年</w:t>
            </w:r>
          </w:p>
        </w:tc>
      </w:tr>
      <w:tr>
        <w:tblPrEx>
          <w:tblBorders>
            <w:top w:val="single" w:color="auto" w:sz="18" w:space="0"/>
            <w:left w:val="single" w:color="auto" w:sz="18" w:space="0"/>
            <w:bottom w:val="single" w:color="auto" w:sz="18" w:space="0"/>
            <w:right w:val="single" w:color="auto" w:sz="18" w:space="0"/>
            <w:insideH w:val="none" w:color="auto" w:sz="4" w:space="0"/>
            <w:insideV w:val="none" w:color="auto" w:sz="4" w:space="0"/>
          </w:tblBorders>
          <w:tblCellMar>
            <w:top w:w="0" w:type="dxa"/>
            <w:left w:w="0" w:type="dxa"/>
            <w:bottom w:w="0" w:type="dxa"/>
            <w:right w:w="0" w:type="dxa"/>
          </w:tblCellMar>
        </w:tblPrEx>
        <w:trPr>
          <w:trHeight w:val="454" w:hRule="atLeast"/>
          <w:jc w:val="center"/>
        </w:trPr>
        <w:tc>
          <w:tcPr>
            <w:tcW w:w="1494" w:type="pct"/>
            <w:tcBorders>
              <w:top w:val="single" w:color="000000" w:sz="4" w:space="0"/>
              <w:bottom w:val="single" w:color="000000" w:sz="4" w:space="0"/>
              <w:right w:val="single" w:color="000000" w:sz="4" w:space="0"/>
            </w:tcBorders>
            <w:noWrap w:val="0"/>
            <w:tcMar>
              <w:top w:w="12" w:type="dxa"/>
              <w:left w:w="12" w:type="dxa"/>
              <w:right w:w="12" w:type="dxa"/>
            </w:tcMar>
            <w:vAlign w:val="center"/>
          </w:tcPr>
          <w:p>
            <w:pPr>
              <w:pStyle w:val="17"/>
              <w:bidi w:val="0"/>
            </w:pPr>
            <w:r>
              <w:t>总产值</w:t>
            </w:r>
            <w:r>
              <w:rPr>
                <w:rFonts w:hint="eastAsia"/>
              </w:rPr>
              <w:t>（万元）</w:t>
            </w:r>
          </w:p>
        </w:tc>
        <w:tc>
          <w:tcPr>
            <w:tcW w:w="1168"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rPr>
            </w:pPr>
            <w:r>
              <w:rPr>
                <w:rFonts w:hint="default" w:ascii="Times New Roman" w:hAnsi="Times New Roman" w:eastAsia="宋体" w:cs="Times New Roman"/>
                <w:i w:val="0"/>
                <w:iCs w:val="0"/>
                <w:snapToGrid w:val="0"/>
                <w:color w:val="000000"/>
                <w:kern w:val="0"/>
                <w:sz w:val="24"/>
                <w:szCs w:val="24"/>
                <w:u w:val="none"/>
                <w:lang w:val="en-US" w:eastAsia="zh-CN" w:bidi="ar"/>
              </w:rPr>
              <w:t xml:space="preserve"> 18,773 </w:t>
            </w:r>
          </w:p>
        </w:tc>
        <w:tc>
          <w:tcPr>
            <w:tcW w:w="1168" w:type="pct"/>
            <w:tcBorders>
              <w:top w:val="single" w:color="000000" w:sz="4" w:space="0"/>
              <w:left w:val="single" w:color="000000" w:sz="4" w:space="0"/>
              <w:bottom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rPr>
            </w:pPr>
            <w:r>
              <w:rPr>
                <w:rFonts w:hint="default" w:ascii="Times New Roman" w:hAnsi="Times New Roman" w:eastAsia="宋体" w:cs="Times New Roman"/>
                <w:i w:val="0"/>
                <w:iCs w:val="0"/>
                <w:snapToGrid w:val="0"/>
                <w:color w:val="000000"/>
                <w:kern w:val="0"/>
                <w:sz w:val="24"/>
                <w:szCs w:val="24"/>
                <w:u w:val="none"/>
                <w:lang w:val="en-US" w:eastAsia="zh-CN" w:bidi="ar"/>
              </w:rPr>
              <w:t xml:space="preserve"> 22,355 </w:t>
            </w:r>
          </w:p>
        </w:tc>
        <w:tc>
          <w:tcPr>
            <w:tcW w:w="1168" w:type="pct"/>
            <w:tcBorders>
              <w:top w:val="single" w:color="000000" w:sz="4" w:space="0"/>
              <w:left w:val="single" w:color="000000" w:sz="4" w:space="0"/>
              <w:bottom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0"/>
                <w:sz w:val="24"/>
                <w:szCs w:val="24"/>
                <w:u w:val="none"/>
                <w:lang w:val="en-US" w:eastAsia="zh-CN" w:bidi="ar"/>
              </w:rPr>
            </w:pPr>
            <w:r>
              <w:rPr>
                <w:rFonts w:hint="eastAsia" w:ascii="Times New Roman" w:hAnsi="Times New Roman" w:eastAsia="宋体" w:cs="Times New Roman"/>
                <w:i w:val="0"/>
                <w:iCs w:val="0"/>
                <w:snapToGrid w:val="0"/>
                <w:color w:val="000000"/>
                <w:kern w:val="0"/>
                <w:sz w:val="24"/>
                <w:szCs w:val="24"/>
                <w:u w:val="none"/>
                <w:lang w:val="en-US" w:eastAsia="zh-CN" w:bidi="ar"/>
              </w:rPr>
              <w:t>20099</w:t>
            </w:r>
          </w:p>
        </w:tc>
      </w:tr>
      <w:tr>
        <w:tblPrEx>
          <w:tblBorders>
            <w:top w:val="single" w:color="auto" w:sz="18" w:space="0"/>
            <w:left w:val="single" w:color="auto" w:sz="18" w:space="0"/>
            <w:bottom w:val="single" w:color="auto" w:sz="18" w:space="0"/>
            <w:right w:val="single" w:color="auto" w:sz="18" w:space="0"/>
            <w:insideH w:val="none" w:color="auto" w:sz="4" w:space="0"/>
            <w:insideV w:val="none" w:color="auto" w:sz="4" w:space="0"/>
          </w:tblBorders>
          <w:tblCellMar>
            <w:top w:w="0" w:type="dxa"/>
            <w:left w:w="0" w:type="dxa"/>
            <w:bottom w:w="0" w:type="dxa"/>
            <w:right w:w="0" w:type="dxa"/>
          </w:tblCellMar>
        </w:tblPrEx>
        <w:trPr>
          <w:trHeight w:val="454" w:hRule="atLeast"/>
          <w:jc w:val="center"/>
        </w:trPr>
        <w:tc>
          <w:tcPr>
            <w:tcW w:w="1494" w:type="pct"/>
            <w:tcBorders>
              <w:top w:val="single" w:color="000000" w:sz="4" w:space="0"/>
              <w:bottom w:val="single" w:color="000000" w:sz="4" w:space="0"/>
              <w:right w:val="single" w:color="000000" w:sz="4" w:space="0"/>
            </w:tcBorders>
            <w:noWrap w:val="0"/>
            <w:tcMar>
              <w:top w:w="12" w:type="dxa"/>
              <w:left w:w="12" w:type="dxa"/>
              <w:right w:w="12" w:type="dxa"/>
            </w:tcMar>
            <w:vAlign w:val="center"/>
          </w:tcPr>
          <w:p>
            <w:pPr>
              <w:pStyle w:val="17"/>
              <w:bidi w:val="0"/>
            </w:pPr>
            <w:r>
              <w:t>销售收入</w:t>
            </w:r>
            <w:r>
              <w:rPr>
                <w:rFonts w:hint="eastAsia"/>
              </w:rPr>
              <w:t>（万元）</w:t>
            </w:r>
          </w:p>
        </w:tc>
        <w:tc>
          <w:tcPr>
            <w:tcW w:w="1168"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rPr>
            </w:pPr>
            <w:r>
              <w:rPr>
                <w:rFonts w:hint="default" w:ascii="Times New Roman" w:hAnsi="Times New Roman" w:eastAsia="宋体" w:cs="Times New Roman"/>
                <w:i w:val="0"/>
                <w:iCs w:val="0"/>
                <w:snapToGrid w:val="0"/>
                <w:color w:val="000000"/>
                <w:kern w:val="0"/>
                <w:sz w:val="24"/>
                <w:szCs w:val="24"/>
                <w:u w:val="none"/>
                <w:lang w:val="en-US" w:eastAsia="zh-CN" w:bidi="ar"/>
              </w:rPr>
              <w:t xml:space="preserve"> 18,756 </w:t>
            </w:r>
          </w:p>
        </w:tc>
        <w:tc>
          <w:tcPr>
            <w:tcW w:w="1168" w:type="pct"/>
            <w:tcBorders>
              <w:top w:val="single" w:color="000000" w:sz="4" w:space="0"/>
              <w:left w:val="single" w:color="000000" w:sz="4" w:space="0"/>
              <w:bottom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rPr>
            </w:pPr>
            <w:r>
              <w:rPr>
                <w:rFonts w:hint="default" w:ascii="Times New Roman" w:hAnsi="Times New Roman" w:eastAsia="宋体" w:cs="Times New Roman"/>
                <w:i w:val="0"/>
                <w:iCs w:val="0"/>
                <w:snapToGrid w:val="0"/>
                <w:color w:val="000000"/>
                <w:kern w:val="0"/>
                <w:sz w:val="24"/>
                <w:szCs w:val="24"/>
                <w:u w:val="none"/>
                <w:lang w:val="en-US" w:eastAsia="zh-CN" w:bidi="ar"/>
              </w:rPr>
              <w:t xml:space="preserve"> 20,980 </w:t>
            </w:r>
          </w:p>
        </w:tc>
        <w:tc>
          <w:tcPr>
            <w:tcW w:w="1168" w:type="pct"/>
            <w:tcBorders>
              <w:top w:val="single" w:color="000000" w:sz="4" w:space="0"/>
              <w:left w:val="single" w:color="000000" w:sz="4" w:space="0"/>
              <w:bottom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0"/>
                <w:sz w:val="24"/>
                <w:szCs w:val="24"/>
                <w:u w:val="none"/>
                <w:lang w:val="en-US" w:eastAsia="zh-CN" w:bidi="ar"/>
              </w:rPr>
            </w:pPr>
            <w:r>
              <w:rPr>
                <w:rFonts w:hint="eastAsia" w:ascii="Times New Roman" w:hAnsi="Times New Roman" w:eastAsia="宋体" w:cs="Times New Roman"/>
                <w:i w:val="0"/>
                <w:iCs w:val="0"/>
                <w:snapToGrid w:val="0"/>
                <w:color w:val="000000"/>
                <w:kern w:val="0"/>
                <w:sz w:val="24"/>
                <w:szCs w:val="24"/>
                <w:u w:val="none"/>
                <w:lang w:val="en-US" w:eastAsia="zh-CN" w:bidi="ar"/>
              </w:rPr>
              <w:t>18792</w:t>
            </w:r>
          </w:p>
        </w:tc>
      </w:tr>
      <w:tr>
        <w:tblPrEx>
          <w:tblBorders>
            <w:top w:val="single" w:color="auto" w:sz="18" w:space="0"/>
            <w:left w:val="single" w:color="auto" w:sz="18" w:space="0"/>
            <w:bottom w:val="single" w:color="auto" w:sz="18" w:space="0"/>
            <w:right w:val="single" w:color="auto" w:sz="18" w:space="0"/>
            <w:insideH w:val="none" w:color="auto" w:sz="4" w:space="0"/>
            <w:insideV w:val="none" w:color="auto" w:sz="4" w:space="0"/>
          </w:tblBorders>
          <w:tblCellMar>
            <w:top w:w="0" w:type="dxa"/>
            <w:left w:w="0" w:type="dxa"/>
            <w:bottom w:w="0" w:type="dxa"/>
            <w:right w:w="0" w:type="dxa"/>
          </w:tblCellMar>
        </w:tblPrEx>
        <w:trPr>
          <w:trHeight w:val="454" w:hRule="atLeast"/>
          <w:jc w:val="center"/>
        </w:trPr>
        <w:tc>
          <w:tcPr>
            <w:tcW w:w="1494" w:type="pct"/>
            <w:tcBorders>
              <w:top w:val="single" w:color="000000" w:sz="4" w:space="0"/>
              <w:bottom w:val="single" w:color="000000" w:sz="4" w:space="0"/>
              <w:right w:val="single" w:color="000000" w:sz="4" w:space="0"/>
            </w:tcBorders>
            <w:noWrap w:val="0"/>
            <w:tcMar>
              <w:top w:w="12" w:type="dxa"/>
              <w:left w:w="12" w:type="dxa"/>
              <w:right w:w="12" w:type="dxa"/>
            </w:tcMar>
            <w:vAlign w:val="center"/>
          </w:tcPr>
          <w:p>
            <w:pPr>
              <w:pStyle w:val="17"/>
              <w:bidi w:val="0"/>
            </w:pPr>
            <w:r>
              <w:t>利税总额</w:t>
            </w:r>
            <w:r>
              <w:rPr>
                <w:rFonts w:hint="eastAsia"/>
              </w:rPr>
              <w:t>（万元）</w:t>
            </w:r>
          </w:p>
        </w:tc>
        <w:tc>
          <w:tcPr>
            <w:tcW w:w="1168"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rPr>
            </w:pPr>
            <w:r>
              <w:rPr>
                <w:rFonts w:hint="default" w:ascii="Times New Roman" w:hAnsi="Times New Roman" w:eastAsia="宋体" w:cs="Times New Roman"/>
                <w:i w:val="0"/>
                <w:iCs w:val="0"/>
                <w:snapToGrid w:val="0"/>
                <w:color w:val="000000"/>
                <w:kern w:val="0"/>
                <w:sz w:val="24"/>
                <w:szCs w:val="24"/>
                <w:u w:val="none"/>
                <w:lang w:val="en-US" w:eastAsia="zh-CN" w:bidi="ar"/>
              </w:rPr>
              <w:t xml:space="preserve"> 3,814 </w:t>
            </w:r>
          </w:p>
        </w:tc>
        <w:tc>
          <w:tcPr>
            <w:tcW w:w="1168" w:type="pct"/>
            <w:tcBorders>
              <w:top w:val="single" w:color="000000" w:sz="4" w:space="0"/>
              <w:left w:val="single" w:color="000000" w:sz="4" w:space="0"/>
              <w:bottom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rPr>
            </w:pPr>
            <w:r>
              <w:rPr>
                <w:rFonts w:hint="default" w:ascii="Times New Roman" w:hAnsi="Times New Roman" w:eastAsia="宋体" w:cs="Times New Roman"/>
                <w:i w:val="0"/>
                <w:iCs w:val="0"/>
                <w:snapToGrid w:val="0"/>
                <w:color w:val="000000"/>
                <w:kern w:val="0"/>
                <w:sz w:val="24"/>
                <w:szCs w:val="24"/>
                <w:u w:val="none"/>
                <w:lang w:val="en-US" w:eastAsia="zh-CN" w:bidi="ar"/>
              </w:rPr>
              <w:t xml:space="preserve"> 2,623 </w:t>
            </w:r>
          </w:p>
        </w:tc>
        <w:tc>
          <w:tcPr>
            <w:tcW w:w="1168" w:type="pct"/>
            <w:tcBorders>
              <w:top w:val="single" w:color="000000" w:sz="4" w:space="0"/>
              <w:left w:val="single" w:color="000000" w:sz="4" w:space="0"/>
              <w:bottom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0"/>
                <w:sz w:val="24"/>
                <w:szCs w:val="24"/>
                <w:u w:val="none"/>
                <w:lang w:val="en-US" w:eastAsia="zh-CN" w:bidi="ar"/>
              </w:rPr>
            </w:pPr>
            <w:r>
              <w:rPr>
                <w:rFonts w:hint="eastAsia" w:ascii="Times New Roman" w:hAnsi="Times New Roman" w:eastAsia="宋体" w:cs="Times New Roman"/>
                <w:i w:val="0"/>
                <w:iCs w:val="0"/>
                <w:snapToGrid w:val="0"/>
                <w:color w:val="000000"/>
                <w:kern w:val="0"/>
                <w:sz w:val="24"/>
                <w:szCs w:val="24"/>
                <w:u w:val="none"/>
                <w:lang w:val="en-US" w:eastAsia="zh-CN" w:bidi="ar"/>
              </w:rPr>
              <w:t>2091.82</w:t>
            </w:r>
          </w:p>
        </w:tc>
      </w:tr>
      <w:tr>
        <w:tblPrEx>
          <w:tblBorders>
            <w:top w:val="single" w:color="auto" w:sz="18" w:space="0"/>
            <w:left w:val="single" w:color="auto" w:sz="18" w:space="0"/>
            <w:bottom w:val="single" w:color="auto" w:sz="18" w:space="0"/>
            <w:right w:val="single" w:color="auto" w:sz="18" w:space="0"/>
            <w:insideH w:val="none" w:color="auto" w:sz="4" w:space="0"/>
            <w:insideV w:val="none" w:color="auto" w:sz="4" w:space="0"/>
          </w:tblBorders>
          <w:tblCellMar>
            <w:top w:w="0" w:type="dxa"/>
            <w:left w:w="0" w:type="dxa"/>
            <w:bottom w:w="0" w:type="dxa"/>
            <w:right w:w="0" w:type="dxa"/>
          </w:tblCellMar>
        </w:tblPrEx>
        <w:trPr>
          <w:trHeight w:val="454" w:hRule="atLeast"/>
          <w:jc w:val="center"/>
        </w:trPr>
        <w:tc>
          <w:tcPr>
            <w:tcW w:w="1494" w:type="pct"/>
            <w:tcBorders>
              <w:top w:val="single" w:color="000000" w:sz="4" w:space="0"/>
              <w:right w:val="single" w:color="000000" w:sz="4" w:space="0"/>
            </w:tcBorders>
            <w:noWrap w:val="0"/>
            <w:tcMar>
              <w:top w:w="12" w:type="dxa"/>
              <w:left w:w="12" w:type="dxa"/>
              <w:right w:w="12" w:type="dxa"/>
            </w:tcMar>
            <w:vAlign w:val="center"/>
          </w:tcPr>
          <w:p>
            <w:pPr>
              <w:pStyle w:val="17"/>
              <w:bidi w:val="0"/>
              <w:rPr>
                <w:rFonts w:hint="eastAsia"/>
              </w:rPr>
            </w:pPr>
            <w:r>
              <w:rPr>
                <w:rFonts w:hint="eastAsia"/>
              </w:rPr>
              <w:t>产量（吨）</w:t>
            </w:r>
          </w:p>
        </w:tc>
        <w:tc>
          <w:tcPr>
            <w:tcW w:w="1168" w:type="pct"/>
            <w:tcBorders>
              <w:top w:val="single" w:color="000000" w:sz="4" w:space="0"/>
              <w:left w:val="single" w:color="000000" w:sz="4" w:space="0"/>
              <w:right w:val="single" w:color="000000" w:sz="4" w:space="0"/>
            </w:tcBorders>
            <w:noWrap/>
            <w:tcMar>
              <w:top w:w="12" w:type="dxa"/>
              <w:left w:w="12" w:type="dxa"/>
              <w:right w:w="12" w:type="dxa"/>
            </w:tcMar>
            <w:vAlign w:val="center"/>
          </w:tcPr>
          <w:p>
            <w:pPr>
              <w:pStyle w:val="17"/>
              <w:bidi w:val="0"/>
              <w:rPr>
                <w:rFonts w:hint="default"/>
                <w:lang w:val="en-US"/>
              </w:rPr>
            </w:pPr>
            <w:r>
              <w:rPr>
                <w:rFonts w:hint="eastAsia"/>
                <w:lang w:val="en-US" w:eastAsia="zh-CN"/>
              </w:rPr>
              <w:t>7645</w:t>
            </w:r>
          </w:p>
        </w:tc>
        <w:tc>
          <w:tcPr>
            <w:tcW w:w="1168" w:type="pct"/>
            <w:tcBorders>
              <w:top w:val="single" w:color="000000" w:sz="4" w:space="0"/>
              <w:left w:val="single" w:color="000000" w:sz="4" w:space="0"/>
            </w:tcBorders>
            <w:noWrap/>
            <w:tcMar>
              <w:top w:w="12" w:type="dxa"/>
              <w:left w:w="12" w:type="dxa"/>
              <w:right w:w="12" w:type="dxa"/>
            </w:tcMar>
            <w:vAlign w:val="center"/>
          </w:tcPr>
          <w:p>
            <w:pPr>
              <w:pStyle w:val="17"/>
              <w:bidi w:val="0"/>
              <w:rPr>
                <w:rFonts w:hint="default"/>
                <w:lang w:val="en-US"/>
              </w:rPr>
            </w:pPr>
            <w:r>
              <w:rPr>
                <w:rFonts w:hint="eastAsia"/>
                <w:lang w:val="en-US" w:eastAsia="zh-CN"/>
              </w:rPr>
              <w:t>7908</w:t>
            </w:r>
          </w:p>
        </w:tc>
        <w:tc>
          <w:tcPr>
            <w:tcW w:w="1168" w:type="pct"/>
            <w:tcBorders>
              <w:top w:val="single" w:color="000000" w:sz="4" w:space="0"/>
              <w:left w:val="single" w:color="000000" w:sz="4" w:space="0"/>
            </w:tcBorders>
            <w:noWrap/>
            <w:tcMar>
              <w:top w:w="12" w:type="dxa"/>
              <w:left w:w="12" w:type="dxa"/>
              <w:right w:w="12" w:type="dxa"/>
            </w:tcMar>
            <w:vAlign w:val="center"/>
          </w:tcPr>
          <w:p>
            <w:pPr>
              <w:pStyle w:val="17"/>
              <w:bidi w:val="0"/>
              <w:rPr>
                <w:rFonts w:hint="default"/>
                <w:lang w:val="en-US" w:eastAsia="zh-CN"/>
              </w:rPr>
            </w:pPr>
            <w:r>
              <w:rPr>
                <w:rFonts w:hint="eastAsia"/>
                <w:lang w:val="en-US" w:eastAsia="zh-CN"/>
              </w:rPr>
              <w:t>6108</w:t>
            </w:r>
          </w:p>
        </w:tc>
      </w:tr>
    </w:tbl>
    <w:p>
      <w:pPr>
        <w:pStyle w:val="17"/>
        <w:bidi w:val="0"/>
      </w:pPr>
    </w:p>
    <w:p>
      <w:pPr>
        <w:spacing w:line="128" w:lineRule="exact"/>
      </w:pPr>
    </w:p>
    <w:p>
      <w:pPr>
        <w:sectPr>
          <w:headerReference r:id="rId26" w:type="default"/>
          <w:footerReference r:id="rId27" w:type="default"/>
          <w:pgSz w:w="11906" w:h="16840"/>
          <w:pgMar w:top="1440" w:right="1080" w:bottom="1440" w:left="1080" w:header="901" w:footer="852" w:gutter="0"/>
          <w:pgNumType w:fmt="decimal"/>
          <w:cols w:space="720" w:num="1"/>
        </w:sectPr>
      </w:pPr>
    </w:p>
    <w:p>
      <w:pPr>
        <w:pStyle w:val="17"/>
        <w:bidi w:val="0"/>
        <w:jc w:val="both"/>
        <w:rPr>
          <w:rFonts w:hint="eastAsia" w:eastAsia="宋体"/>
          <w:lang w:eastAsia="zh-CN"/>
        </w:rPr>
      </w:pPr>
      <w:bookmarkStart w:id="96" w:name="_bookmark49"/>
      <w:bookmarkEnd w:id="96"/>
    </w:p>
    <w:sectPr>
      <w:footerReference r:id="rId28" w:type="default"/>
      <w:pgSz w:w="11906" w:h="16840"/>
      <w:pgMar w:top="1440" w:right="1080" w:bottom="1440" w:left="1080" w:header="901" w:footer="85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975"/>
      <w:rPr>
        <w:rFonts w:ascii="仿宋" w:hAnsi="仿宋" w:eastAsia="仿宋" w:cs="仿宋"/>
        <w:sz w:val="17"/>
        <w:szCs w:val="17"/>
      </w:rPr>
    </w:pPr>
    <w:r>
      <w:rPr>
        <w:sz w:val="17"/>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4271"/>
      <w:rPr>
        <w:rFonts w:ascii="Calibri" w:hAnsi="Calibri" w:eastAsia="Calibri" w:cs="Calibri"/>
        <w:sz w:val="18"/>
        <w:szCs w:val="18"/>
      </w:rPr>
    </w:pPr>
    <w:r>
      <w:rPr>
        <w:rFonts w:ascii="Calibri" w:hAnsi="Calibri" w:eastAsia="Calibri" w:cs="Calibri"/>
        <w:spacing w:val="-4"/>
        <w:sz w:val="18"/>
        <w:szCs w:val="18"/>
      </w:rPr>
      <w:t>11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65"/>
      <w:rPr>
        <w:rFonts w:ascii="仿宋" w:hAnsi="仿宋" w:eastAsia="仿宋" w:cs="仿宋"/>
        <w:sz w:val="17"/>
        <w:szCs w:val="17"/>
      </w:rPr>
    </w:pPr>
    <w:r>
      <w:rPr>
        <w:sz w:val="17"/>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WwHM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0kMUyj4qcf308/&#10;H06/vhGcQaDGhRni7h0iY/vOtmib4TzgMPFuK6/TF4wI/MA6XuQVbSQ8XZpOptMcLg7fsAF+9njd&#10;+RDfC6tJMgrqUb9OVnbYhNiHDiEpm7FrqVRXQ2VIU9Cr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MWwHM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68"/>
      <w:rPr>
        <w:rFonts w:ascii="仿宋" w:hAnsi="仿宋" w:eastAsia="仿宋" w:cs="仿宋"/>
        <w:sz w:val="17"/>
        <w:szCs w:val="17"/>
      </w:rPr>
    </w:pPr>
    <w:r>
      <w:rPr>
        <w:sz w:val="17"/>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Annc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ZAnnc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65"/>
      <w:rPr>
        <w:rFonts w:ascii="仿宋" w:hAnsi="仿宋" w:eastAsia="仿宋" w:cs="仿宋"/>
        <w:sz w:val="17"/>
        <w:szCs w:val="17"/>
      </w:rPr>
    </w:pPr>
    <w:r>
      <w:rPr>
        <w:sz w:val="17"/>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65"/>
      <w:rPr>
        <w:rFonts w:ascii="仿宋" w:hAnsi="仿宋" w:eastAsia="仿宋" w:cs="仿宋"/>
        <w:sz w:val="17"/>
        <w:szCs w:val="17"/>
      </w:rPr>
    </w:pPr>
    <w:r>
      <w:rPr>
        <w:sz w:val="17"/>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65"/>
      <w:rPr>
        <w:rFonts w:ascii="仿宋" w:hAnsi="仿宋" w:eastAsia="仿宋" w:cs="仿宋"/>
        <w:sz w:val="17"/>
        <w:szCs w:val="17"/>
      </w:rPr>
    </w:pPr>
    <w:r>
      <w:rPr>
        <w:sz w:val="17"/>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T65Q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sT65Q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67"/>
      <w:rPr>
        <w:rFonts w:ascii="仿宋" w:hAnsi="仿宋" w:eastAsia="仿宋" w:cs="仿宋"/>
        <w:sz w:val="17"/>
        <w:szCs w:val="17"/>
      </w:rPr>
    </w:pPr>
    <w:r>
      <w:rPr>
        <w:sz w:val="17"/>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67"/>
      <w:rPr>
        <w:rFonts w:ascii="仿宋" w:hAnsi="仿宋" w:eastAsia="仿宋" w:cs="仿宋"/>
        <w:sz w:val="17"/>
        <w:szCs w:val="17"/>
      </w:rPr>
    </w:pPr>
    <w:r>
      <w:rPr>
        <w:sz w:val="17"/>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357"/>
      <w:rPr>
        <w:rFonts w:ascii="仿宋" w:hAnsi="仿宋" w:eastAsia="仿宋" w:cs="仿宋"/>
        <w:sz w:val="17"/>
        <w:szCs w:val="17"/>
      </w:rPr>
    </w:pPr>
    <w:r>
      <w:rPr>
        <w:sz w:val="17"/>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62"/>
      <w:rPr>
        <w:rFonts w:ascii="仿宋" w:hAnsi="仿宋" w:eastAsia="仿宋" w:cs="仿宋"/>
        <w:sz w:val="17"/>
        <w:szCs w:val="17"/>
      </w:rPr>
    </w:pPr>
    <w:r>
      <w:rPr>
        <w:sz w:val="17"/>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azvg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2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RrO+D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62"/>
      <w:rPr>
        <w:rFonts w:ascii="仿宋" w:hAnsi="仿宋" w:eastAsia="仿宋" w:cs="仿宋"/>
        <w:sz w:val="17"/>
        <w:szCs w:val="17"/>
      </w:rPr>
    </w:pPr>
    <w:r>
      <w:rPr>
        <w:sz w:val="17"/>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kBxM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qa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uQHEz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rect id="_x0000_s2049" o:spid="_x0000_s2049" o:spt="1" style="position:absolute;left:0pt;margin-left:0pt;margin-top:0.55pt;height:841.4pt;width:595.3pt;mso-position-horizontal-relative:page;mso-position-vertical-relative:page;z-index:-251657216;mso-width-relative:page;mso-height-relative:page;" fillcolor="#91E7E1" filled="t" stroked="f" coordsize="21600,21600" o:allowincell="f">
          <v:path/>
          <v:fill on="t" focussize="0,0"/>
          <v:stroke on="f"/>
          <v:imagedata o:title=""/>
          <o:lock v:ext="edit"/>
        </v:rect>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kinsoku w:val="0"/>
      <w:wordWrap/>
      <w:overflowPunct/>
      <w:topLinePunct w:val="0"/>
      <w:autoSpaceDE w:val="0"/>
      <w:autoSpaceDN w:val="0"/>
      <w:bidi w:val="0"/>
      <w:adjustRightInd w:val="0"/>
      <w:snapToGrid w:val="0"/>
      <w:spacing w:line="226" w:lineRule="auto"/>
      <w:ind w:left="0"/>
      <w:jc w:val="center"/>
      <w:textAlignment w:val="center"/>
      <w:rPr>
        <w:rFonts w:ascii="宋体" w:hAnsi="宋体" w:eastAsia="宋体" w:cs="宋体"/>
        <w:sz w:val="20"/>
        <w:szCs w:val="20"/>
      </w:rPr>
    </w:pPr>
    <w:r>
      <w:rPr>
        <w:rFonts w:hint="eastAsia"/>
      </w:rPr>
      <w:pict>
        <v:shape id="_x0000_s2059" o:spid="_x0000_s2059" style="position:absolute;left:0pt;margin-left:90.15pt;margin-top:58.1pt;height:0.5pt;width:415pt;mso-position-horizontal-relative:page;mso-position-vertical-relative:page;z-index:251661312;mso-width-relative:page;mso-height-relative:page;" fillcolor="#000000" filled="t" stroked="f" coordsize="8300,10" o:allowincell="f" path="m0,0l8300,0,8300,9,0,9,0,0xe">
          <v:path/>
          <v:fill on="t" focussize="0,0"/>
          <v:stroke on="f"/>
          <v:imagedata o:title=""/>
          <o:lock v:ext="edit"/>
        </v:shape>
      </w:pict>
    </w:r>
    <w:r>
      <w:rPr>
        <w:rFonts w:hint="eastAsia" w:eastAsia="宋体"/>
        <w:lang w:eastAsia="zh-CN"/>
      </w:rPr>
      <w:t>浙江群展精密紧固件股份有限公司</w:t>
    </w:r>
    <w:r>
      <w:rPr>
        <w:rFonts w:hint="eastAsia"/>
      </w:rPr>
      <w:t>温室气体核查报告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kinsoku w:val="0"/>
      <w:wordWrap/>
      <w:overflowPunct/>
      <w:topLinePunct w:val="0"/>
      <w:autoSpaceDE w:val="0"/>
      <w:autoSpaceDN w:val="0"/>
      <w:bidi w:val="0"/>
      <w:adjustRightInd w:val="0"/>
      <w:snapToGrid w:val="0"/>
      <w:spacing w:line="226" w:lineRule="auto"/>
      <w:ind w:left="0"/>
      <w:jc w:val="center"/>
      <w:textAlignment w:val="center"/>
      <w:rPr>
        <w:rFonts w:ascii="宋体" w:hAnsi="宋体" w:eastAsia="宋体" w:cs="宋体"/>
        <w:sz w:val="20"/>
        <w:szCs w:val="20"/>
      </w:rPr>
    </w:pPr>
    <w:r>
      <w:rPr>
        <w:rFonts w:hint="eastAsia"/>
      </w:rPr>
      <mc:AlternateContent>
        <mc:Choice Requires="wps">
          <w:drawing>
            <wp:anchor distT="0" distB="0" distL="114300" distR="114300" simplePos="0" relativeHeight="251666432" behindDoc="0" locked="0" layoutInCell="0" allowOverlap="1">
              <wp:simplePos x="0" y="0"/>
              <wp:positionH relativeFrom="page">
                <wp:posOffset>1144905</wp:posOffset>
              </wp:positionH>
              <wp:positionV relativeFrom="page">
                <wp:posOffset>737870</wp:posOffset>
              </wp:positionV>
              <wp:extent cx="5270500" cy="6350"/>
              <wp:effectExtent l="0" t="0" r="0" b="0"/>
              <wp:wrapNone/>
              <wp:docPr id="36" name="任意多边形 36"/>
              <wp:cNvGraphicFramePr/>
              <a:graphic xmlns:a="http://schemas.openxmlformats.org/drawingml/2006/main">
                <a:graphicData uri="http://schemas.microsoft.com/office/word/2010/wordprocessingShape">
                  <wps:wsp>
                    <wps:cNvSpPr/>
                    <wps:spPr>
                      <a:xfrm>
                        <a:off x="0" y="0"/>
                        <a:ext cx="5270500" cy="6350"/>
                      </a:xfrm>
                      <a:custGeom>
                        <a:avLst/>
                        <a:gdLst/>
                        <a:ahLst/>
                        <a:cxnLst/>
                        <a:pathLst>
                          <a:path w="8300" h="10">
                            <a:moveTo>
                              <a:pt x="0" y="0"/>
                            </a:moveTo>
                            <a:lnTo>
                              <a:pt x="8300" y="0"/>
                            </a:lnTo>
                            <a:lnTo>
                              <a:pt x="830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15pt;margin-top:58.1pt;height:0.5pt;width:415pt;mso-position-horizontal-relative:page;mso-position-vertical-relative:page;z-index:251666432;mso-width-relative:page;mso-height-relative:page;" fillcolor="#000000" filled="t" stroked="f" coordsize="8300,10" o:allowincell="f" o:gfxdata="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489IdUAAAAMAQAADwAAAAAAAAABACAAAAAi&#10;AAAAZHJzL2Rvd25yZXYueG1sUEsBAhQAFAAAAAgAh07iQIqfR0oNAgAAewQAAA4AAAAAAAAAAQAg&#10;AAAAJAEAAGRycy9lMm9Eb2MueG1sUEsFBgAAAAAGAAYAWQEAAKMFAAAAAA==&#10;" path="m0,0l8300,0,8300,9,0,9,0,0xe">
              <v:fill on="t" focussize="0,0"/>
              <v:stroke on="f"/>
              <v:imagedata o:title=""/>
              <o:lock v:ext="edit" aspectratio="f"/>
            </v:shape>
          </w:pict>
        </mc:Fallback>
      </mc:AlternateContent>
    </w:r>
    <w:r>
      <w:rPr>
        <w:rFonts w:hint="eastAsia" w:eastAsia="宋体"/>
        <w:lang w:eastAsia="zh-CN"/>
      </w:rPr>
      <w:t>浙江群展精密紧固件股份有限公司</w:t>
    </w:r>
    <w:r>
      <w:rPr>
        <w:rFonts w:hint="eastAsia"/>
      </w:rPr>
      <w:t>温室气体核查报告</w:t>
    </w:r>
  </w:p>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kinsoku w:val="0"/>
      <w:wordWrap/>
      <w:overflowPunct/>
      <w:topLinePunct w:val="0"/>
      <w:autoSpaceDE w:val="0"/>
      <w:autoSpaceDN w:val="0"/>
      <w:bidi w:val="0"/>
      <w:adjustRightInd w:val="0"/>
      <w:snapToGrid w:val="0"/>
      <w:spacing w:line="226" w:lineRule="auto"/>
      <w:ind w:left="0"/>
      <w:jc w:val="center"/>
      <w:textAlignment w:val="center"/>
      <w:rPr>
        <w:rFonts w:ascii="宋体" w:hAnsi="宋体" w:eastAsia="宋体" w:cs="宋体"/>
        <w:sz w:val="20"/>
        <w:szCs w:val="20"/>
      </w:rPr>
    </w:pPr>
    <w:r>
      <w:rPr>
        <w:rFonts w:hint="eastAsia"/>
      </w:rPr>
      <mc:AlternateContent>
        <mc:Choice Requires="wps">
          <w:drawing>
            <wp:anchor distT="0" distB="0" distL="114300" distR="114300" simplePos="0" relativeHeight="251667456" behindDoc="0" locked="0" layoutInCell="0" allowOverlap="1">
              <wp:simplePos x="0" y="0"/>
              <wp:positionH relativeFrom="page">
                <wp:posOffset>1144905</wp:posOffset>
              </wp:positionH>
              <wp:positionV relativeFrom="page">
                <wp:posOffset>737870</wp:posOffset>
              </wp:positionV>
              <wp:extent cx="5270500" cy="6350"/>
              <wp:effectExtent l="0" t="0" r="0" b="0"/>
              <wp:wrapNone/>
              <wp:docPr id="37" name="任意多边形 37"/>
              <wp:cNvGraphicFramePr/>
              <a:graphic xmlns:a="http://schemas.openxmlformats.org/drawingml/2006/main">
                <a:graphicData uri="http://schemas.microsoft.com/office/word/2010/wordprocessingShape">
                  <wps:wsp>
                    <wps:cNvSpPr/>
                    <wps:spPr>
                      <a:xfrm>
                        <a:off x="0" y="0"/>
                        <a:ext cx="5270500" cy="6350"/>
                      </a:xfrm>
                      <a:custGeom>
                        <a:avLst/>
                        <a:gdLst/>
                        <a:ahLst/>
                        <a:cxnLst/>
                        <a:pathLst>
                          <a:path w="8300" h="10">
                            <a:moveTo>
                              <a:pt x="0" y="0"/>
                            </a:moveTo>
                            <a:lnTo>
                              <a:pt x="8300" y="0"/>
                            </a:lnTo>
                            <a:lnTo>
                              <a:pt x="830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15pt;margin-top:58.1pt;height:0.5pt;width:415pt;mso-position-horizontal-relative:page;mso-position-vertical-relative:page;z-index:251667456;mso-width-relative:page;mso-height-relative:page;" fillcolor="#000000" filled="t" stroked="f" coordsize="8300,10" o:allowincell="f" o:gfxdata="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uPPSHVAAAADAEAAA8AAAAAAAAAAQAgAAAA&#10;IgAAAGRycy9kb3ducmV2LnhtbFBLAQIUABQAAAAIAIdO4kAC/XeaDgIAAHsEAAAOAAAAAAAAAAEA&#10;IAAAACQBAABkcnMvZTJvRG9jLnhtbFBLBQYAAAAABgAGAFkBAACkBQAAAAA=&#10;" path="m0,0l8300,0,8300,9,0,9,0,0xe">
              <v:fill on="t" focussize="0,0"/>
              <v:stroke on="f"/>
              <v:imagedata o:title=""/>
              <o:lock v:ext="edit" aspectratio="f"/>
            </v:shape>
          </w:pict>
        </mc:Fallback>
      </mc:AlternateContent>
    </w:r>
    <w:r>
      <w:rPr>
        <w:rFonts w:hint="eastAsia" w:eastAsia="宋体"/>
        <w:lang w:eastAsia="zh-CN"/>
      </w:rPr>
      <w:t>浙江群展精密紧固件股份有限公司</w:t>
    </w:r>
    <w:r>
      <w:rPr>
        <w:rFonts w:hint="eastAsia"/>
      </w:rPr>
      <w:t>温室气体核查报告</w:t>
    </w:r>
  </w:p>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kinsoku w:val="0"/>
      <w:wordWrap/>
      <w:overflowPunct/>
      <w:topLinePunct w:val="0"/>
      <w:autoSpaceDE w:val="0"/>
      <w:autoSpaceDN w:val="0"/>
      <w:bidi w:val="0"/>
      <w:adjustRightInd w:val="0"/>
      <w:snapToGrid w:val="0"/>
      <w:spacing w:line="226" w:lineRule="auto"/>
      <w:ind w:left="0"/>
      <w:jc w:val="center"/>
      <w:textAlignment w:val="center"/>
      <w:rPr>
        <w:rFonts w:ascii="宋体" w:hAnsi="宋体" w:eastAsia="宋体" w:cs="宋体"/>
        <w:sz w:val="20"/>
        <w:szCs w:val="20"/>
      </w:rPr>
    </w:pPr>
    <w:r>
      <w:rPr>
        <w:rFonts w:hint="eastAsia"/>
      </w:rPr>
      <mc:AlternateContent>
        <mc:Choice Requires="wps">
          <w:drawing>
            <wp:anchor distT="0" distB="0" distL="114300" distR="114300" simplePos="0" relativeHeight="251668480" behindDoc="0" locked="0" layoutInCell="0" allowOverlap="1">
              <wp:simplePos x="0" y="0"/>
              <wp:positionH relativeFrom="page">
                <wp:posOffset>1144905</wp:posOffset>
              </wp:positionH>
              <wp:positionV relativeFrom="page">
                <wp:posOffset>737870</wp:posOffset>
              </wp:positionV>
              <wp:extent cx="5270500" cy="6350"/>
              <wp:effectExtent l="0" t="0" r="0" b="0"/>
              <wp:wrapNone/>
              <wp:docPr id="38" name="任意多边形 38"/>
              <wp:cNvGraphicFramePr/>
              <a:graphic xmlns:a="http://schemas.openxmlformats.org/drawingml/2006/main">
                <a:graphicData uri="http://schemas.microsoft.com/office/word/2010/wordprocessingShape">
                  <wps:wsp>
                    <wps:cNvSpPr/>
                    <wps:spPr>
                      <a:xfrm>
                        <a:off x="0" y="0"/>
                        <a:ext cx="5270500" cy="6350"/>
                      </a:xfrm>
                      <a:custGeom>
                        <a:avLst/>
                        <a:gdLst/>
                        <a:ahLst/>
                        <a:cxnLst/>
                        <a:pathLst>
                          <a:path w="8300" h="10">
                            <a:moveTo>
                              <a:pt x="0" y="0"/>
                            </a:moveTo>
                            <a:lnTo>
                              <a:pt x="8300" y="0"/>
                            </a:lnTo>
                            <a:lnTo>
                              <a:pt x="830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15pt;margin-top:58.1pt;height:0.5pt;width:415pt;mso-position-horizontal-relative:page;mso-position-vertical-relative:page;z-index:251668480;mso-width-relative:page;mso-height-relative:page;" fillcolor="#000000" filled="t" stroked="f" coordsize="8300,10" o:allowincell="f" o:gfxdata="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489IdUAAAAMAQAADwAAAAAAAAABACAAAAAi&#10;AAAAZHJzL2Rvd25yZXYueG1sUEsBAhQAFAAAAAgAh07iQHzRQ/ANAgAAewQAAA4AAAAAAAAAAQAg&#10;AAAAJAEAAGRycy9lMm9Eb2MueG1sUEsFBgAAAAAGAAYAWQEAAKMFAAAAAA==&#10;" path="m0,0l8300,0,8300,9,0,9,0,0xe">
              <v:fill on="t" focussize="0,0"/>
              <v:stroke on="f"/>
              <v:imagedata o:title=""/>
              <o:lock v:ext="edit" aspectratio="f"/>
            </v:shape>
          </w:pict>
        </mc:Fallback>
      </mc:AlternateContent>
    </w:r>
    <w:r>
      <w:rPr>
        <w:rFonts w:hint="eastAsia" w:eastAsia="宋体"/>
        <w:lang w:eastAsia="zh-CN"/>
      </w:rPr>
      <w:t>浙江群展精密紧固件股份有限公司</w:t>
    </w:r>
    <w:r>
      <w:rPr>
        <w:rFonts w:hint="eastAsia"/>
      </w:rPr>
      <w:t>温室气体核查报告</w:t>
    </w:r>
  </w:p>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kinsoku w:val="0"/>
      <w:wordWrap/>
      <w:overflowPunct/>
      <w:topLinePunct w:val="0"/>
      <w:autoSpaceDE w:val="0"/>
      <w:autoSpaceDN w:val="0"/>
      <w:bidi w:val="0"/>
      <w:adjustRightInd w:val="0"/>
      <w:snapToGrid w:val="0"/>
      <w:spacing w:line="226" w:lineRule="auto"/>
      <w:ind w:left="0"/>
      <w:jc w:val="center"/>
      <w:textAlignment w:val="center"/>
      <w:rPr>
        <w:rFonts w:ascii="宋体" w:hAnsi="宋体" w:eastAsia="宋体" w:cs="宋体"/>
        <w:sz w:val="20"/>
        <w:szCs w:val="20"/>
      </w:rPr>
    </w:pPr>
    <w:r>
      <w:rPr>
        <w:rFonts w:hint="eastAsia"/>
      </w:rPr>
      <mc:AlternateContent>
        <mc:Choice Requires="wps">
          <w:drawing>
            <wp:anchor distT="0" distB="0" distL="114300" distR="114300" simplePos="0" relativeHeight="251669504" behindDoc="0" locked="0" layoutInCell="0" allowOverlap="1">
              <wp:simplePos x="0" y="0"/>
              <wp:positionH relativeFrom="page">
                <wp:posOffset>1144905</wp:posOffset>
              </wp:positionH>
              <wp:positionV relativeFrom="page">
                <wp:posOffset>737870</wp:posOffset>
              </wp:positionV>
              <wp:extent cx="5270500" cy="6350"/>
              <wp:effectExtent l="0" t="0" r="0" b="0"/>
              <wp:wrapNone/>
              <wp:docPr id="39" name="任意多边形 39"/>
              <wp:cNvGraphicFramePr/>
              <a:graphic xmlns:a="http://schemas.openxmlformats.org/drawingml/2006/main">
                <a:graphicData uri="http://schemas.microsoft.com/office/word/2010/wordprocessingShape">
                  <wps:wsp>
                    <wps:cNvSpPr/>
                    <wps:spPr>
                      <a:xfrm>
                        <a:off x="0" y="0"/>
                        <a:ext cx="5270500" cy="6350"/>
                      </a:xfrm>
                      <a:custGeom>
                        <a:avLst/>
                        <a:gdLst/>
                        <a:ahLst/>
                        <a:cxnLst/>
                        <a:pathLst>
                          <a:path w="8300" h="10">
                            <a:moveTo>
                              <a:pt x="0" y="0"/>
                            </a:moveTo>
                            <a:lnTo>
                              <a:pt x="8300" y="0"/>
                            </a:lnTo>
                            <a:lnTo>
                              <a:pt x="830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15pt;margin-top:58.1pt;height:0.5pt;width:415pt;mso-position-horizontal-relative:page;mso-position-vertical-relative:page;z-index:251669504;mso-width-relative:page;mso-height-relative:page;" fillcolor="#000000" filled="t" stroked="f" coordsize="8300,10" o:allowincell="f" o:gfxdata="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G489IdUAAAAMAQAADwAAAAAAAAABACAA&#10;AAAiAAAAZHJzL2Rvd25yZXYueG1sUEsBAhQAFAAAAAgAh07iQPSzcyAQAgAAewQAAA4AAAAAAAAA&#10;AQAgAAAAJAEAAGRycy9lMm9Eb2MueG1sUEsFBgAAAAAGAAYAWQEAAKYFAAAAAA==&#10;" path="m0,0l8300,0,8300,9,0,9,0,0xe">
              <v:fill on="t" focussize="0,0"/>
              <v:stroke on="f"/>
              <v:imagedata o:title=""/>
              <o:lock v:ext="edit" aspectratio="f"/>
            </v:shape>
          </w:pict>
        </mc:Fallback>
      </mc:AlternateContent>
    </w:r>
    <w:r>
      <w:rPr>
        <w:rFonts w:hint="eastAsia" w:eastAsia="宋体"/>
        <w:lang w:eastAsia="zh-CN"/>
      </w:rPr>
      <w:t>浙江群展精密紧固件股份有限公司</w:t>
    </w:r>
    <w:r>
      <w:rPr>
        <w:rFonts w:hint="eastAsia"/>
      </w:rPr>
      <w:t>温室气体核查报告</w:t>
    </w:r>
  </w:p>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kinsoku w:val="0"/>
      <w:wordWrap/>
      <w:overflowPunct/>
      <w:topLinePunct w:val="0"/>
      <w:autoSpaceDE w:val="0"/>
      <w:autoSpaceDN w:val="0"/>
      <w:bidi w:val="0"/>
      <w:adjustRightInd w:val="0"/>
      <w:snapToGrid w:val="0"/>
      <w:spacing w:line="226" w:lineRule="auto"/>
      <w:ind w:left="0"/>
      <w:jc w:val="center"/>
      <w:textAlignment w:val="center"/>
      <w:rPr>
        <w:rFonts w:ascii="宋体" w:hAnsi="宋体" w:eastAsia="宋体" w:cs="宋体"/>
        <w:sz w:val="20"/>
        <w:szCs w:val="20"/>
      </w:rPr>
    </w:pPr>
    <w:r>
      <w:rPr>
        <w:rFonts w:hint="eastAsia"/>
      </w:rPr>
      <mc:AlternateContent>
        <mc:Choice Requires="wps">
          <w:drawing>
            <wp:anchor distT="0" distB="0" distL="114300" distR="114300" simplePos="0" relativeHeight="251670528" behindDoc="0" locked="0" layoutInCell="0" allowOverlap="1">
              <wp:simplePos x="0" y="0"/>
              <wp:positionH relativeFrom="page">
                <wp:posOffset>1144905</wp:posOffset>
              </wp:positionH>
              <wp:positionV relativeFrom="page">
                <wp:posOffset>737870</wp:posOffset>
              </wp:positionV>
              <wp:extent cx="5270500" cy="6350"/>
              <wp:effectExtent l="0" t="0" r="0" b="0"/>
              <wp:wrapNone/>
              <wp:docPr id="41" name="任意多边形 41"/>
              <wp:cNvGraphicFramePr/>
              <a:graphic xmlns:a="http://schemas.openxmlformats.org/drawingml/2006/main">
                <a:graphicData uri="http://schemas.microsoft.com/office/word/2010/wordprocessingShape">
                  <wps:wsp>
                    <wps:cNvSpPr/>
                    <wps:spPr>
                      <a:xfrm>
                        <a:off x="0" y="0"/>
                        <a:ext cx="5270500" cy="6350"/>
                      </a:xfrm>
                      <a:custGeom>
                        <a:avLst/>
                        <a:gdLst/>
                        <a:ahLst/>
                        <a:cxnLst/>
                        <a:pathLst>
                          <a:path w="8300" h="10">
                            <a:moveTo>
                              <a:pt x="0" y="0"/>
                            </a:moveTo>
                            <a:lnTo>
                              <a:pt x="8300" y="0"/>
                            </a:lnTo>
                            <a:lnTo>
                              <a:pt x="830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15pt;margin-top:58.1pt;height:0.5pt;width:415pt;mso-position-horizontal-relative:page;mso-position-vertical-relative:page;z-index:251670528;mso-width-relative:page;mso-height-relative:page;" fillcolor="#000000" filled="t" stroked="f" coordsize="8300,10" o:allowincell="f" o:gfxdata="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489IdUAAAAMAQAADwAAAAAAAAABACAAAAAi&#10;AAAAZHJzL2Rvd25yZXYueG1sUEsBAhQAFAAAAAgAh07iQGISz9ANAgAAewQAAA4AAAAAAAAAAQAg&#10;AAAAJAEAAGRycy9lMm9Eb2MueG1sUEsFBgAAAAAGAAYAWQEAAKMFAAAAAA==&#10;" path="m0,0l8300,0,8300,9,0,9,0,0xe">
              <v:fill on="t" focussize="0,0"/>
              <v:stroke on="f"/>
              <v:imagedata o:title=""/>
              <o:lock v:ext="edit" aspectratio="f"/>
            </v:shape>
          </w:pict>
        </mc:Fallback>
      </mc:AlternateContent>
    </w:r>
    <w:r>
      <w:rPr>
        <w:rFonts w:hint="eastAsia" w:eastAsia="宋体"/>
        <w:lang w:eastAsia="zh-CN"/>
      </w:rPr>
      <w:t>浙江群展精密紧固件股份有限公司</w:t>
    </w:r>
    <w:r>
      <w:rPr>
        <w:rFonts w:hint="eastAsia"/>
      </w:rPr>
      <w:t>温室气体核查报告</w:t>
    </w:r>
  </w:p>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kinsoku w:val="0"/>
      <w:wordWrap/>
      <w:overflowPunct/>
      <w:topLinePunct w:val="0"/>
      <w:autoSpaceDE w:val="0"/>
      <w:autoSpaceDN w:val="0"/>
      <w:bidi w:val="0"/>
      <w:adjustRightInd w:val="0"/>
      <w:snapToGrid w:val="0"/>
      <w:spacing w:line="226" w:lineRule="auto"/>
      <w:ind w:left="0"/>
      <w:jc w:val="center"/>
      <w:textAlignment w:val="center"/>
      <w:rPr>
        <w:rFonts w:ascii="宋体" w:hAnsi="宋体" w:eastAsia="宋体" w:cs="宋体"/>
        <w:sz w:val="20"/>
        <w:szCs w:val="20"/>
      </w:rPr>
    </w:pPr>
    <w:r>
      <w:rPr>
        <w:rFonts w:hint="eastAsia"/>
      </w:rPr>
      <mc:AlternateContent>
        <mc:Choice Requires="wps">
          <w:drawing>
            <wp:anchor distT="0" distB="0" distL="114300" distR="114300" simplePos="0" relativeHeight="251671552" behindDoc="0" locked="0" layoutInCell="0" allowOverlap="1">
              <wp:simplePos x="0" y="0"/>
              <wp:positionH relativeFrom="page">
                <wp:posOffset>1144905</wp:posOffset>
              </wp:positionH>
              <wp:positionV relativeFrom="page">
                <wp:posOffset>737870</wp:posOffset>
              </wp:positionV>
              <wp:extent cx="5270500" cy="6350"/>
              <wp:effectExtent l="0" t="0" r="0" b="0"/>
              <wp:wrapNone/>
              <wp:docPr id="42" name="任意多边形 42"/>
              <wp:cNvGraphicFramePr/>
              <a:graphic xmlns:a="http://schemas.openxmlformats.org/drawingml/2006/main">
                <a:graphicData uri="http://schemas.microsoft.com/office/word/2010/wordprocessingShape">
                  <wps:wsp>
                    <wps:cNvSpPr/>
                    <wps:spPr>
                      <a:xfrm>
                        <a:off x="0" y="0"/>
                        <a:ext cx="5270500" cy="6350"/>
                      </a:xfrm>
                      <a:custGeom>
                        <a:avLst/>
                        <a:gdLst/>
                        <a:ahLst/>
                        <a:cxnLst/>
                        <a:pathLst>
                          <a:path w="8300" h="10">
                            <a:moveTo>
                              <a:pt x="0" y="0"/>
                            </a:moveTo>
                            <a:lnTo>
                              <a:pt x="8300" y="0"/>
                            </a:lnTo>
                            <a:lnTo>
                              <a:pt x="830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15pt;margin-top:58.1pt;height:0.5pt;width:415pt;mso-position-horizontal-relative:page;mso-position-vertical-relative:page;z-index:251671552;mso-width-relative:page;mso-height-relative:page;" fillcolor="#000000" filled="t" stroked="f" coordsize="8300,10" o:allowincell="f" o:gfxdata="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489IdUAAAAMAQAADwAAAAAAAAABACAAAAAi&#10;AAAAZHJzL2Rvd25yZXYueG1sUEsBAhQAFAAAAAgAh07iQLuz7nsNAgAAewQAAA4AAAAAAAAAAQAg&#10;AAAAJAEAAGRycy9lMm9Eb2MueG1sUEsFBgAAAAAGAAYAWQEAAKMFAAAAAA==&#10;" path="m0,0l8300,0,8300,9,0,9,0,0xe">
              <v:fill on="t" focussize="0,0"/>
              <v:stroke on="f"/>
              <v:imagedata o:title=""/>
              <o:lock v:ext="edit" aspectratio="f"/>
            </v:shape>
          </w:pict>
        </mc:Fallback>
      </mc:AlternateContent>
    </w:r>
    <w:r>
      <w:rPr>
        <w:rFonts w:hint="eastAsia" w:eastAsia="宋体"/>
        <w:lang w:eastAsia="zh-CN"/>
      </w:rPr>
      <w:t>浙江群展精密紧固件股份有限公司</w:t>
    </w:r>
    <w:r>
      <w:rPr>
        <w:rFonts w:hint="eastAsia"/>
      </w:rPr>
      <w:t>温室气体核查报告</w:t>
    </w:r>
  </w:p>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kinsoku w:val="0"/>
      <w:wordWrap/>
      <w:overflowPunct/>
      <w:topLinePunct w:val="0"/>
      <w:autoSpaceDE w:val="0"/>
      <w:autoSpaceDN w:val="0"/>
      <w:bidi w:val="0"/>
      <w:adjustRightInd w:val="0"/>
      <w:snapToGrid w:val="0"/>
      <w:spacing w:line="226" w:lineRule="auto"/>
      <w:ind w:left="0"/>
      <w:jc w:val="center"/>
      <w:textAlignment w:val="center"/>
      <w:rPr>
        <w:rFonts w:ascii="宋体" w:hAnsi="宋体" w:eastAsia="宋体" w:cs="宋体"/>
        <w:sz w:val="20"/>
        <w:szCs w:val="20"/>
      </w:rPr>
    </w:pPr>
    <w:r>
      <w:rPr>
        <w:rFonts w:hint="eastAsia"/>
      </w:rPr>
      <mc:AlternateContent>
        <mc:Choice Requires="wps">
          <w:drawing>
            <wp:anchor distT="0" distB="0" distL="114300" distR="114300" simplePos="0" relativeHeight="251672576" behindDoc="0" locked="0" layoutInCell="0" allowOverlap="1">
              <wp:simplePos x="0" y="0"/>
              <wp:positionH relativeFrom="page">
                <wp:posOffset>1144905</wp:posOffset>
              </wp:positionH>
              <wp:positionV relativeFrom="page">
                <wp:posOffset>737870</wp:posOffset>
              </wp:positionV>
              <wp:extent cx="5270500" cy="6350"/>
              <wp:effectExtent l="0" t="0" r="0" b="0"/>
              <wp:wrapNone/>
              <wp:docPr id="43" name="任意多边形 43"/>
              <wp:cNvGraphicFramePr/>
              <a:graphic xmlns:a="http://schemas.openxmlformats.org/drawingml/2006/main">
                <a:graphicData uri="http://schemas.microsoft.com/office/word/2010/wordprocessingShape">
                  <wps:wsp>
                    <wps:cNvSpPr/>
                    <wps:spPr>
                      <a:xfrm>
                        <a:off x="0" y="0"/>
                        <a:ext cx="5270500" cy="6350"/>
                      </a:xfrm>
                      <a:custGeom>
                        <a:avLst/>
                        <a:gdLst/>
                        <a:ahLst/>
                        <a:cxnLst/>
                        <a:pathLst>
                          <a:path w="8300" h="10">
                            <a:moveTo>
                              <a:pt x="0" y="0"/>
                            </a:moveTo>
                            <a:lnTo>
                              <a:pt x="8300" y="0"/>
                            </a:lnTo>
                            <a:lnTo>
                              <a:pt x="830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15pt;margin-top:58.1pt;height:0.5pt;width:415pt;mso-position-horizontal-relative:page;mso-position-vertical-relative:page;z-index:251672576;mso-width-relative:page;mso-height-relative:page;" fillcolor="#000000" filled="t" stroked="f" coordsize="8300,10" o:allowincell="f" o:gfxdata="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uPPSHVAAAADAEAAA8AAAAAAAAAAQAgAAAA&#10;IgAAAGRycy9kb3ducmV2LnhtbFBLAQIUABQAAAAIAIdO4kAz0d6rDgIAAHsEAAAOAAAAAAAAAAEA&#10;IAAAACQBAABkcnMvZTJvRG9jLnhtbFBLBQYAAAAABgAGAFkBAACkBQAAAAA=&#10;" path="m0,0l8300,0,8300,9,0,9,0,0xe">
              <v:fill on="t" focussize="0,0"/>
              <v:stroke on="f"/>
              <v:imagedata o:title=""/>
              <o:lock v:ext="edit" aspectratio="f"/>
            </v:shape>
          </w:pict>
        </mc:Fallback>
      </mc:AlternateContent>
    </w:r>
    <w:r>
      <w:rPr>
        <w:rFonts w:hint="eastAsia" w:eastAsia="宋体"/>
        <w:lang w:eastAsia="zh-CN"/>
      </w:rPr>
      <w:t>浙江群展精密紧固件股份有限公司</w:t>
    </w:r>
    <w:r>
      <w:rPr>
        <w:rFonts w:hint="eastAsia"/>
      </w:rPr>
      <w:t>温室气体核查报告</w:t>
    </w:r>
  </w:p>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kinsoku w:val="0"/>
      <w:wordWrap/>
      <w:overflowPunct/>
      <w:topLinePunct w:val="0"/>
      <w:autoSpaceDE w:val="0"/>
      <w:autoSpaceDN w:val="0"/>
      <w:bidi w:val="0"/>
      <w:adjustRightInd w:val="0"/>
      <w:snapToGrid w:val="0"/>
      <w:spacing w:line="226" w:lineRule="auto"/>
      <w:ind w:left="0"/>
      <w:jc w:val="center"/>
      <w:textAlignment w:val="center"/>
      <w:rPr>
        <w:rFonts w:ascii="宋体" w:hAnsi="宋体" w:eastAsia="宋体" w:cs="宋体"/>
        <w:sz w:val="20"/>
        <w:szCs w:val="20"/>
      </w:rPr>
    </w:pPr>
    <w:r>
      <w:rPr>
        <w:rFonts w:hint="eastAsia"/>
      </w:rPr>
      <mc:AlternateContent>
        <mc:Choice Requires="wps">
          <w:drawing>
            <wp:anchor distT="0" distB="0" distL="114300" distR="114300" simplePos="0" relativeHeight="251673600" behindDoc="0" locked="0" layoutInCell="0" allowOverlap="1">
              <wp:simplePos x="0" y="0"/>
              <wp:positionH relativeFrom="page">
                <wp:posOffset>1144905</wp:posOffset>
              </wp:positionH>
              <wp:positionV relativeFrom="page">
                <wp:posOffset>737870</wp:posOffset>
              </wp:positionV>
              <wp:extent cx="5270500" cy="6350"/>
              <wp:effectExtent l="0" t="0" r="0" b="0"/>
              <wp:wrapNone/>
              <wp:docPr id="44" name="任意多边形 44"/>
              <wp:cNvGraphicFramePr/>
              <a:graphic xmlns:a="http://schemas.openxmlformats.org/drawingml/2006/main">
                <a:graphicData uri="http://schemas.microsoft.com/office/word/2010/wordprocessingShape">
                  <wps:wsp>
                    <wps:cNvSpPr/>
                    <wps:spPr>
                      <a:xfrm>
                        <a:off x="0" y="0"/>
                        <a:ext cx="5270500" cy="6350"/>
                      </a:xfrm>
                      <a:custGeom>
                        <a:avLst/>
                        <a:gdLst/>
                        <a:ahLst/>
                        <a:cxnLst/>
                        <a:pathLst>
                          <a:path w="8300" h="10">
                            <a:moveTo>
                              <a:pt x="0" y="0"/>
                            </a:moveTo>
                            <a:lnTo>
                              <a:pt x="8300" y="0"/>
                            </a:lnTo>
                            <a:lnTo>
                              <a:pt x="830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15pt;margin-top:58.1pt;height:0.5pt;width:415pt;mso-position-horizontal-relative:page;mso-position-vertical-relative:page;z-index:251673600;mso-width-relative:page;mso-height-relative:page;" fillcolor="#000000" filled="t" stroked="f" coordsize="8300,10" o:allowincell="f" o:gfxdata="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bjz0h1QAAAAwBAAAPAAAAAAAAAAEAIAAA&#10;ACIAAABkcnMvZG93bnJldi54bWxQSwECFAAUAAAACACHTuJASPbc9g8CAAB7BAAADgAAAAAAAAAB&#10;ACAAAAAkAQAAZHJzL2Uyb0RvYy54bWxQSwUGAAAAAAYABgBZAQAApQUAAAAA&#10;" path="m0,0l8300,0,8300,9,0,9,0,0xe">
              <v:fill on="t" focussize="0,0"/>
              <v:stroke on="f"/>
              <v:imagedata o:title=""/>
              <o:lock v:ext="edit" aspectratio="f"/>
            </v:shape>
          </w:pict>
        </mc:Fallback>
      </mc:AlternateContent>
    </w:r>
    <w:r>
      <w:rPr>
        <w:rFonts w:hint="eastAsia" w:eastAsia="宋体"/>
        <w:lang w:eastAsia="zh-CN"/>
      </w:rPr>
      <w:t>浙江群展精密紧固件股份有限公司</w:t>
    </w:r>
    <w:r>
      <w:rPr>
        <w:rFonts w:hint="eastAsia"/>
      </w:rPr>
      <w:t>温室气体核查报告</w:t>
    </w: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F3A9E3"/>
    <w:multiLevelType w:val="singleLevel"/>
    <w:tmpl w:val="27F3A9E3"/>
    <w:lvl w:ilvl="0" w:tentative="0">
      <w:start w:val="4"/>
      <w:numFmt w:val="decimal"/>
      <w:suff w:val="nothing"/>
      <w:lvlText w:val="%1、"/>
      <w:lvlJc w:val="left"/>
    </w:lvl>
  </w:abstractNum>
  <w:abstractNum w:abstractNumId="1">
    <w:nsid w:val="49CEAE36"/>
    <w:multiLevelType w:val="singleLevel"/>
    <w:tmpl w:val="49CEAE36"/>
    <w:lvl w:ilvl="0" w:tentative="0">
      <w:start w:val="1"/>
      <w:numFmt w:val="decimal"/>
      <w:suff w:val="nothing"/>
      <w:lvlText w:val="%1、"/>
      <w:lvlJc w:val="left"/>
    </w:lvl>
  </w:abstractNum>
  <w:abstractNum w:abstractNumId="2">
    <w:nsid w:val="527AF32D"/>
    <w:multiLevelType w:val="singleLevel"/>
    <w:tmpl w:val="527AF32D"/>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DA3ZDQwMmNiOWFlYzZjYTcwOWJiZGQ0YTA5ODBmZGUifQ=="/>
    <w:docVar w:name="KSO_WPS_MARK_KEY" w:val="e148cc54-9017-48fd-9281-38869bd5fb85"/>
  </w:docVars>
  <w:rsids>
    <w:rsidRoot w:val="00000000"/>
    <w:rsid w:val="09B836AF"/>
    <w:rsid w:val="18BD470D"/>
    <w:rsid w:val="194B45AF"/>
    <w:rsid w:val="19EF3947"/>
    <w:rsid w:val="2465223C"/>
    <w:rsid w:val="25DE2E0B"/>
    <w:rsid w:val="27A37C78"/>
    <w:rsid w:val="280900B0"/>
    <w:rsid w:val="2CFC2A23"/>
    <w:rsid w:val="30B82A31"/>
    <w:rsid w:val="376D647B"/>
    <w:rsid w:val="3F8C0B0F"/>
    <w:rsid w:val="41401038"/>
    <w:rsid w:val="43776D56"/>
    <w:rsid w:val="478F1673"/>
    <w:rsid w:val="49EA64D4"/>
    <w:rsid w:val="4A9C0CBE"/>
    <w:rsid w:val="53A203CE"/>
    <w:rsid w:val="555B3598"/>
    <w:rsid w:val="577B4C0F"/>
    <w:rsid w:val="58380FBE"/>
    <w:rsid w:val="62F4152B"/>
    <w:rsid w:val="6A1A56E7"/>
    <w:rsid w:val="6BC13233"/>
    <w:rsid w:val="6C007ED8"/>
    <w:rsid w:val="6D57148A"/>
    <w:rsid w:val="6D87693B"/>
    <w:rsid w:val="6DF5610C"/>
    <w:rsid w:val="6E4E1A5B"/>
    <w:rsid w:val="6FDE7B21"/>
    <w:rsid w:val="79C0666D"/>
    <w:rsid w:val="7B031384"/>
    <w:rsid w:val="7C8B3C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3"/>
    <w:next w:val="4"/>
    <w:qFormat/>
    <w:uiPriority w:val="0"/>
    <w:pPr>
      <w:keepNext/>
      <w:keepLines/>
      <w:spacing w:before="140" w:beforeLines="0" w:beforeAutospacing="0" w:afterLines="0" w:afterAutospacing="0" w:line="360" w:lineRule="auto"/>
      <w:jc w:val="center"/>
      <w:outlineLvl w:val="0"/>
    </w:pPr>
    <w:rPr>
      <w:rFonts w:ascii="Times New Roman" w:hAnsi="Times New Roman" w:eastAsia="宋体" w:cstheme="minorBidi"/>
      <w:bCs/>
      <w:color w:val="000000" w:themeColor="text1"/>
      <w:kern w:val="44"/>
      <w:sz w:val="44"/>
      <w:szCs w:val="44"/>
      <w14:textFill>
        <w14:solidFill>
          <w14:schemeClr w14:val="tx1"/>
        </w14:solidFill>
      </w14:textFill>
    </w:rPr>
  </w:style>
  <w:style w:type="paragraph" w:styleId="4">
    <w:name w:val="heading 2"/>
    <w:basedOn w:val="2"/>
    <w:next w:val="5"/>
    <w:unhideWhenUsed/>
    <w:qFormat/>
    <w:uiPriority w:val="0"/>
    <w:pPr>
      <w:keepNext/>
      <w:keepLines/>
      <w:spacing w:beforeLines="0" w:beforeAutospacing="0" w:afterLines="0" w:afterAutospacing="0" w:line="360" w:lineRule="auto"/>
      <w:jc w:val="left"/>
      <w:outlineLvl w:val="1"/>
    </w:pPr>
    <w:rPr>
      <w:rFonts w:ascii="Times New Roman" w:hAnsi="Times New Roman" w:cs="Times New Roman"/>
      <w:sz w:val="32"/>
      <w:szCs w:val="32"/>
    </w:rPr>
  </w:style>
  <w:style w:type="paragraph" w:styleId="5">
    <w:name w:val="heading 3"/>
    <w:basedOn w:val="4"/>
    <w:next w:val="1"/>
    <w:unhideWhenUsed/>
    <w:qFormat/>
    <w:uiPriority w:val="0"/>
    <w:pPr>
      <w:keepNext/>
      <w:keepLines/>
      <w:spacing w:beforeLines="0" w:beforeAutospacing="0" w:afterLines="0" w:afterAutospacing="0" w:line="360" w:lineRule="auto"/>
      <w:outlineLvl w:val="2"/>
    </w:pPr>
    <w:rPr>
      <w:rFonts w:cstheme="minorBidi"/>
      <w:sz w:val="30"/>
      <w:szCs w:val="30"/>
    </w:rPr>
  </w:style>
  <w:style w:type="paragraph" w:styleId="6">
    <w:name w:val="heading 4"/>
    <w:next w:val="1"/>
    <w:unhideWhenUsed/>
    <w:qFormat/>
    <w:uiPriority w:val="0"/>
    <w:pPr>
      <w:keepNext/>
      <w:keepLines/>
      <w:spacing w:beforeLines="0" w:beforeAutospacing="0" w:afterLines="0" w:afterAutospacing="0" w:line="360" w:lineRule="auto"/>
      <w:outlineLvl w:val="3"/>
    </w:pPr>
    <w:rPr>
      <w:rFonts w:ascii="Times New Roman" w:hAnsi="Times New Roman" w:eastAsia="宋体" w:cs="Times New Roman"/>
      <w:b/>
      <w:bCs/>
      <w:sz w:val="28"/>
      <w:szCs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3">
    <w:name w:val="Title"/>
    <w:basedOn w:val="1"/>
    <w:qFormat/>
    <w:uiPriority w:val="0"/>
    <w:pPr>
      <w:spacing w:beforeLines="0" w:beforeAutospacing="0" w:afterLines="0" w:afterAutospacing="0"/>
      <w:jc w:val="left"/>
      <w:outlineLvl w:val="0"/>
    </w:pPr>
    <w:rPr>
      <w:rFonts w:ascii="Arial" w:hAnsi="Arial" w:cs="Times New Roman" w:eastAsiaTheme="majorEastAsia"/>
      <w:b/>
      <w:sz w:val="32"/>
    </w:rPr>
  </w:style>
  <w:style w:type="paragraph" w:styleId="7">
    <w:name w:val="caption"/>
    <w:next w:val="1"/>
    <w:link w:val="18"/>
    <w:unhideWhenUsed/>
    <w:qFormat/>
    <w:uiPriority w:val="0"/>
    <w:pPr>
      <w:spacing w:line="240" w:lineRule="auto"/>
      <w:jc w:val="center"/>
    </w:pPr>
    <w:rPr>
      <w:rFonts w:ascii="Times New Roman" w:hAnsi="Times New Roman" w:eastAsia="楷体" w:cstheme="minorBidi"/>
      <w:b/>
      <w:bCs/>
      <w:color w:val="000000"/>
      <w:sz w:val="21"/>
      <w:szCs w:val="21"/>
    </w:rPr>
  </w:style>
  <w:style w:type="paragraph" w:styleId="8">
    <w:name w:val="Body Text"/>
    <w:basedOn w:val="1"/>
    <w:link w:val="19"/>
    <w:qFormat/>
    <w:uiPriority w:val="0"/>
    <w:pPr>
      <w:spacing w:line="360" w:lineRule="auto"/>
      <w:ind w:firstLine="400" w:firstLineChars="200"/>
      <w:jc w:val="both"/>
    </w:pPr>
    <w:rPr>
      <w:rFonts w:ascii="Times New Roman" w:hAnsi="Times New Roman" w:eastAsia="宋体" w:cs="Times New Roman"/>
      <w:sz w:val="28"/>
      <w:szCs w:val="28"/>
    </w:rPr>
  </w:style>
  <w:style w:type="paragraph" w:styleId="9">
    <w:name w:val="toc 3"/>
    <w:basedOn w:val="1"/>
    <w:next w:val="1"/>
    <w:qFormat/>
    <w:uiPriority w:val="0"/>
    <w:pPr>
      <w:ind w:left="840" w:leftChars="400"/>
    </w:pPr>
    <w:rPr>
      <w:rFonts w:ascii="Times New Roman" w:hAnsi="Times New Roman" w:eastAsia="方正仿宋_GB2312" w:cs="Times New Roman"/>
      <w:sz w:val="28"/>
      <w:szCs w:val="28"/>
    </w:rPr>
  </w:style>
  <w:style w:type="paragraph" w:styleId="10">
    <w:name w:val="footer"/>
    <w:basedOn w:val="1"/>
    <w:qFormat/>
    <w:uiPriority w:val="0"/>
    <w:pPr>
      <w:tabs>
        <w:tab w:val="center" w:pos="4153"/>
        <w:tab w:val="right" w:pos="8306"/>
      </w:tabs>
      <w:snapToGrid w:val="0"/>
      <w:jc w:val="left"/>
    </w:pPr>
    <w:rPr>
      <w:sz w:val="18"/>
    </w:rPr>
  </w:style>
  <w:style w:type="paragraph" w:styleId="11">
    <w:name w:val="toc 1"/>
    <w:next w:val="1"/>
    <w:qFormat/>
    <w:uiPriority w:val="0"/>
    <w:rPr>
      <w:rFonts w:ascii="Times New Roman" w:hAnsi="Times New Roman" w:eastAsia="宋体" w:cs="Times New Roman"/>
      <w:b/>
      <w:bCs/>
      <w:sz w:val="32"/>
      <w:szCs w:val="32"/>
    </w:rPr>
  </w:style>
  <w:style w:type="paragraph" w:styleId="12">
    <w:name w:val="toc 2"/>
    <w:basedOn w:val="1"/>
    <w:next w:val="1"/>
    <w:qFormat/>
    <w:uiPriority w:val="0"/>
    <w:pPr>
      <w:ind w:left="420" w:leftChars="200"/>
    </w:pPr>
    <w:rPr>
      <w:rFonts w:ascii="Times New Roman" w:hAnsi="Times New Roman" w:eastAsia="方正仿宋_GB2312" w:cs="Times New Roman"/>
      <w:sz w:val="30"/>
      <w:szCs w:val="30"/>
    </w:rPr>
  </w:style>
  <w:style w:type="paragraph" w:customStyle="1" w:styleId="15">
    <w:name w:val="申报文本"/>
    <w:basedOn w:val="1"/>
    <w:qFormat/>
    <w:uiPriority w:val="0"/>
    <w:pPr>
      <w:spacing w:line="360" w:lineRule="auto"/>
      <w:ind w:firstLine="883" w:firstLineChars="200"/>
    </w:pPr>
    <w:rPr>
      <w:rFonts w:ascii="Times New Roman" w:hAnsi="Times New Roman" w:eastAsia="仿宋" w:cs="Times New Roman"/>
      <w:snapToGrid w:val="0"/>
      <w:color w:val="000000"/>
      <w:kern w:val="0"/>
      <w:sz w:val="28"/>
      <w:szCs w:val="28"/>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表格内容"/>
    <w:basedOn w:val="1"/>
    <w:qFormat/>
    <w:uiPriority w:val="0"/>
    <w:pPr>
      <w:adjustRightInd/>
      <w:snapToGrid/>
      <w:spacing w:line="240" w:lineRule="auto"/>
      <w:ind w:left="0"/>
      <w:jc w:val="center"/>
    </w:pPr>
    <w:rPr>
      <w:rFonts w:ascii="Times New Roman" w:hAnsi="Times New Roman" w:eastAsia="宋体" w:cs="Times New Roman"/>
      <w:spacing w:val="-6"/>
      <w:position w:val="14"/>
      <w:sz w:val="24"/>
      <w:szCs w:val="24"/>
    </w:rPr>
  </w:style>
  <w:style w:type="character" w:customStyle="1" w:styleId="18">
    <w:name w:val="题注 Char"/>
    <w:link w:val="7"/>
    <w:qFormat/>
    <w:uiPriority w:val="0"/>
    <w:rPr>
      <w:rFonts w:ascii="Times New Roman" w:hAnsi="Times New Roman" w:eastAsia="楷体" w:cstheme="minorBidi"/>
      <w:b/>
      <w:bCs/>
      <w:color w:val="000000"/>
      <w:sz w:val="21"/>
      <w:szCs w:val="21"/>
    </w:rPr>
  </w:style>
  <w:style w:type="character" w:customStyle="1" w:styleId="19">
    <w:name w:val="正文文本 Char"/>
    <w:link w:val="8"/>
    <w:qFormat/>
    <w:uiPriority w:val="0"/>
    <w:rPr>
      <w:rFonts w:ascii="Times New Roman" w:hAnsi="Times New Roman" w:eastAsia="宋体" w:cs="Times New Roman"/>
      <w:sz w:val="28"/>
      <w:szCs w:val="28"/>
    </w:rPr>
  </w:style>
  <w:style w:type="paragraph" w:customStyle="1" w:styleId="20">
    <w:name w:val="图表文本"/>
    <w:basedOn w:val="1"/>
    <w:next w:val="1"/>
    <w:qFormat/>
    <w:uiPriority w:val="0"/>
    <w:pPr>
      <w:adjustRightInd w:val="0"/>
      <w:snapToGrid w:val="0"/>
      <w:spacing w:line="240" w:lineRule="atLeast"/>
      <w:jc w:val="center"/>
      <w:textAlignment w:val="center"/>
    </w:pPr>
    <w:rPr>
      <w:rFonts w:ascii="Times New Roman" w:hAnsi="Times New Roman" w:eastAsia="楷体" w:cs="Times New Roman"/>
      <w:sz w:val="24"/>
      <w:szCs w:val="24"/>
    </w:rPr>
  </w:style>
  <w:style w:type="paragraph" w:customStyle="1" w:styleId="21">
    <w:name w:val="图/表注释"/>
    <w:basedOn w:val="20"/>
    <w:qFormat/>
    <w:uiPriority w:val="0"/>
    <w:rPr>
      <w:b/>
      <w:bCs/>
      <w:color w:val="000000"/>
      <w:sz w:val="21"/>
    </w:rPr>
  </w:style>
  <w:style w:type="character" w:customStyle="1" w:styleId="22">
    <w:name w:val="font21"/>
    <w:basedOn w:val="14"/>
    <w:qFormat/>
    <w:uiPriority w:val="0"/>
    <w:rPr>
      <w:rFonts w:hint="default" w:ascii="Times New Roman" w:hAnsi="Times New Roman" w:cs="Times New Roman"/>
      <w:b/>
      <w:bCs/>
      <w:color w:val="000000"/>
      <w:sz w:val="24"/>
      <w:szCs w:val="24"/>
      <w:u w:val="none"/>
    </w:rPr>
  </w:style>
  <w:style w:type="character" w:customStyle="1" w:styleId="23">
    <w:name w:val="font11"/>
    <w:basedOn w:val="14"/>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9" Type="http://schemas.openxmlformats.org/officeDocument/2006/relationships/fontTable" Target="fontTable.xml"/><Relationship Id="rId68" Type="http://schemas.openxmlformats.org/officeDocument/2006/relationships/numbering" Target="numbering.xml"/><Relationship Id="rId67" Type="http://schemas.openxmlformats.org/officeDocument/2006/relationships/customXml" Target="../customXml/item1.xml"/><Relationship Id="rId66" Type="http://schemas.openxmlformats.org/officeDocument/2006/relationships/image" Target="media/image37.png"/><Relationship Id="rId65" Type="http://schemas.openxmlformats.org/officeDocument/2006/relationships/image" Target="media/image36.png"/><Relationship Id="rId64" Type="http://schemas.openxmlformats.org/officeDocument/2006/relationships/image" Target="media/image35.jpeg"/><Relationship Id="rId63" Type="http://schemas.openxmlformats.org/officeDocument/2006/relationships/image" Target="media/image34.jpeg"/><Relationship Id="rId62" Type="http://schemas.openxmlformats.org/officeDocument/2006/relationships/image" Target="media/image33.jpeg"/><Relationship Id="rId61" Type="http://schemas.openxmlformats.org/officeDocument/2006/relationships/image" Target="media/image32.jpeg"/><Relationship Id="rId60" Type="http://schemas.openxmlformats.org/officeDocument/2006/relationships/image" Target="media/image31.png"/><Relationship Id="rId6" Type="http://schemas.openxmlformats.org/officeDocument/2006/relationships/header" Target="header2.xml"/><Relationship Id="rId59" Type="http://schemas.openxmlformats.org/officeDocument/2006/relationships/image" Target="media/image30.png"/><Relationship Id="rId58" Type="http://schemas.openxmlformats.org/officeDocument/2006/relationships/image" Target="media/image29.jpeg"/><Relationship Id="rId57" Type="http://schemas.openxmlformats.org/officeDocument/2006/relationships/image" Target="media/image28.jpeg"/><Relationship Id="rId56" Type="http://schemas.openxmlformats.org/officeDocument/2006/relationships/image" Target="media/image27.jpeg"/><Relationship Id="rId55" Type="http://schemas.openxmlformats.org/officeDocument/2006/relationships/image" Target="media/image26.jpeg"/><Relationship Id="rId54" Type="http://schemas.openxmlformats.org/officeDocument/2006/relationships/image" Target="media/image25.png"/><Relationship Id="rId53" Type="http://schemas.openxmlformats.org/officeDocument/2006/relationships/image" Target="media/image24.png"/><Relationship Id="rId52" Type="http://schemas.openxmlformats.org/officeDocument/2006/relationships/image" Target="media/image23.png"/><Relationship Id="rId51" Type="http://schemas.openxmlformats.org/officeDocument/2006/relationships/image" Target="media/image22.png"/><Relationship Id="rId50" Type="http://schemas.openxmlformats.org/officeDocument/2006/relationships/image" Target="media/image21.png"/><Relationship Id="rId5" Type="http://schemas.openxmlformats.org/officeDocument/2006/relationships/header" Target="header1.xml"/><Relationship Id="rId49" Type="http://schemas.openxmlformats.org/officeDocument/2006/relationships/image" Target="media/image20.jpeg"/><Relationship Id="rId48" Type="http://schemas.openxmlformats.org/officeDocument/2006/relationships/image" Target="media/image19.png"/><Relationship Id="rId47" Type="http://schemas.openxmlformats.org/officeDocument/2006/relationships/image" Target="media/image18.png"/><Relationship Id="rId46" Type="http://schemas.openxmlformats.org/officeDocument/2006/relationships/image" Target="media/image17.png"/><Relationship Id="rId45" Type="http://schemas.openxmlformats.org/officeDocument/2006/relationships/image" Target="media/image16.png"/><Relationship Id="rId44" Type="http://schemas.openxmlformats.org/officeDocument/2006/relationships/image" Target="media/image15.png"/><Relationship Id="rId43" Type="http://schemas.openxmlformats.org/officeDocument/2006/relationships/image" Target="media/image14.png"/><Relationship Id="rId42" Type="http://schemas.openxmlformats.org/officeDocument/2006/relationships/image" Target="media/image13.png"/><Relationship Id="rId41" Type="http://schemas.openxmlformats.org/officeDocument/2006/relationships/image" Target="media/image12.png"/><Relationship Id="rId40" Type="http://schemas.openxmlformats.org/officeDocument/2006/relationships/image" Target="media/image11.png"/><Relationship Id="rId4" Type="http://schemas.openxmlformats.org/officeDocument/2006/relationships/endnotes" Target="endnotes.xml"/><Relationship Id="rId39" Type="http://schemas.openxmlformats.org/officeDocument/2006/relationships/image" Target="media/image10.png"/><Relationship Id="rId38" Type="http://schemas.openxmlformats.org/officeDocument/2006/relationships/image" Target="media/image9.png"/><Relationship Id="rId37" Type="http://schemas.openxmlformats.org/officeDocument/2006/relationships/image" Target="media/image8.png"/><Relationship Id="rId36" Type="http://schemas.openxmlformats.org/officeDocument/2006/relationships/image" Target="media/image7.png"/><Relationship Id="rId35" Type="http://schemas.openxmlformats.org/officeDocument/2006/relationships/image" Target="media/image6.jpeg"/><Relationship Id="rId34" Type="http://schemas.openxmlformats.org/officeDocument/2006/relationships/image" Target="media/image5.png"/><Relationship Id="rId33" Type="http://schemas.openxmlformats.org/officeDocument/2006/relationships/image" Target="media/image4.png"/><Relationship Id="rId32" Type="http://schemas.openxmlformats.org/officeDocument/2006/relationships/image" Target="media/image3.png"/><Relationship Id="rId31" Type="http://schemas.openxmlformats.org/officeDocument/2006/relationships/image" Target="media/image2.png"/><Relationship Id="rId30" Type="http://schemas.openxmlformats.org/officeDocument/2006/relationships/image" Target="media/image1.png"/><Relationship Id="rId3" Type="http://schemas.openxmlformats.org/officeDocument/2006/relationships/footnotes" Target="footnotes.xml"/><Relationship Id="rId29" Type="http://schemas.openxmlformats.org/officeDocument/2006/relationships/theme" Target="theme/theme1.xml"/><Relationship Id="rId28" Type="http://schemas.openxmlformats.org/officeDocument/2006/relationships/footer" Target="footer13.xml"/><Relationship Id="rId27" Type="http://schemas.openxmlformats.org/officeDocument/2006/relationships/footer" Target="footer12.xml"/><Relationship Id="rId26" Type="http://schemas.openxmlformats.org/officeDocument/2006/relationships/header" Target="header11.xml"/><Relationship Id="rId25" Type="http://schemas.openxmlformats.org/officeDocument/2006/relationships/footer" Target="footer11.xml"/><Relationship Id="rId24" Type="http://schemas.openxmlformats.org/officeDocument/2006/relationships/header" Target="header10.xml"/><Relationship Id="rId23" Type="http://schemas.openxmlformats.org/officeDocument/2006/relationships/footer" Target="footer10.xml"/><Relationship Id="rId22" Type="http://schemas.openxmlformats.org/officeDocument/2006/relationships/header" Target="header9.xml"/><Relationship Id="rId21" Type="http://schemas.openxmlformats.org/officeDocument/2006/relationships/footer" Target="foot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7.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9"/>
    <customShpInfo spid="_x0000_s1026" textRotate="1"/>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48</Pages>
  <Words>13896</Words>
  <Characters>16355</Characters>
  <TotalTime>16</TotalTime>
  <ScaleCrop>false</ScaleCrop>
  <LinksUpToDate>false</LinksUpToDate>
  <CharactersWithSpaces>17257</CharactersWithSpaces>
  <Application>WPS Office_11.1.0.12970_F1E327BC-269C-435d-A152-05C5408002CA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2022-08-23T11:12:00Z</dcterms:created>
  <dc:creator>陈志刚</dc:creator>
  <cp:lastModifiedBy>郑</cp:lastModifiedBy>
  <dcterms:modified xsi:type="dcterms:W3CDTF">2023-03-01T09:15:39Z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2022-08-29T04:04:17Z</vt:filetime>
  </property>
  <property fmtid="{D5CDD505-2E9C-101B-9397-08002B2CF9AE}" pid="4" name="KSOProductBuildVer">
    <vt:lpwstr>2052-11.1.0.12970</vt:lpwstr>
  </property>
  <property fmtid="{D5CDD505-2E9C-101B-9397-08002B2CF9AE}" pid="5" name="ICV">
    <vt:lpwstr>0BF4CF167B4E48CFB470B8060B3D30FA</vt:lpwstr>
  </property>
</Properties>
</file>